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B504" w14:textId="0C974087" w:rsidR="00AF4C09" w:rsidRPr="00271873" w:rsidRDefault="002C73EE" w:rsidP="007B19CD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271873">
        <w:rPr>
          <w:rFonts w:ascii="Calibri" w:hAnsi="Calibri" w:cs="Calibri"/>
          <w:b/>
          <w:bCs/>
          <w:sz w:val="28"/>
          <w:szCs w:val="28"/>
        </w:rPr>
        <w:t>Lühiülevaade 202</w:t>
      </w:r>
      <w:r w:rsidR="00B9051B" w:rsidRPr="00271873">
        <w:rPr>
          <w:rFonts w:ascii="Calibri" w:hAnsi="Calibri" w:cs="Calibri"/>
          <w:b/>
          <w:bCs/>
          <w:sz w:val="28"/>
          <w:szCs w:val="28"/>
        </w:rPr>
        <w:t>5</w:t>
      </w:r>
      <w:r w:rsidRPr="00271873">
        <w:rPr>
          <w:rFonts w:ascii="Calibri" w:hAnsi="Calibri" w:cs="Calibri"/>
          <w:b/>
          <w:bCs/>
          <w:sz w:val="28"/>
          <w:szCs w:val="28"/>
        </w:rPr>
        <w:t>. aasta Kohila valla eelarvest</w:t>
      </w:r>
    </w:p>
    <w:p w14:paraId="79A76D10" w14:textId="77777777" w:rsidR="00F83879" w:rsidRDefault="00F83879" w:rsidP="007B19CD">
      <w:pPr>
        <w:jc w:val="both"/>
        <w:rPr>
          <w:rFonts w:ascii="Calibri" w:hAnsi="Calibri" w:cs="Calibri"/>
        </w:rPr>
      </w:pPr>
    </w:p>
    <w:p w14:paraId="22055C40" w14:textId="374FA3B8" w:rsidR="002C73EE" w:rsidRPr="00706F0E" w:rsidRDefault="00242614" w:rsidP="007B19CD">
      <w:p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>Kohila valla e</w:t>
      </w:r>
      <w:r w:rsidR="002C73EE" w:rsidRPr="00706F0E">
        <w:rPr>
          <w:rFonts w:ascii="Calibri" w:hAnsi="Calibri" w:cs="Calibri"/>
        </w:rPr>
        <w:t xml:space="preserve">elarve maht on </w:t>
      </w:r>
      <w:r w:rsidR="009A3A22">
        <w:rPr>
          <w:rFonts w:ascii="Calibri" w:hAnsi="Calibri" w:cs="Calibri"/>
        </w:rPr>
        <w:t>19,1</w:t>
      </w:r>
      <w:r w:rsidR="002C73EE" w:rsidRPr="00706F0E">
        <w:rPr>
          <w:rFonts w:ascii="Calibri" w:hAnsi="Calibri" w:cs="Calibri"/>
        </w:rPr>
        <w:t xml:space="preserve"> miljonit eurot. Väljaminekud jaotuvad kolme eelarveosa vahel, milleks on põhitegevuse, investeerimistegevuse ja finantseerimistegevuse eelarveosa.</w:t>
      </w:r>
    </w:p>
    <w:p w14:paraId="5FF88CD4" w14:textId="1162DF23" w:rsidR="002C73EE" w:rsidRDefault="002C73EE" w:rsidP="00F83879">
      <w:pPr>
        <w:spacing w:after="0"/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>Tabel 1. Kulud eelarveosade kaupa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3380"/>
        <w:gridCol w:w="1180"/>
        <w:gridCol w:w="1140"/>
        <w:gridCol w:w="1240"/>
        <w:gridCol w:w="1140"/>
        <w:gridCol w:w="960"/>
      </w:tblGrid>
      <w:tr w:rsidR="00A65BB8" w:rsidRPr="00A65BB8" w14:paraId="72F6A8C8" w14:textId="77777777" w:rsidTr="00A65BB8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256837" w14:textId="77777777" w:rsidR="00A65BB8" w:rsidRPr="00A65BB8" w:rsidRDefault="00A65BB8" w:rsidP="00A65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Tegevusvaldkond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1BF57A" w14:textId="77777777" w:rsidR="00A65BB8" w:rsidRPr="00A65BB8" w:rsidRDefault="00A65BB8" w:rsidP="00A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2023 </w:t>
            </w:r>
            <w:proofErr w:type="spellStart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 </w:t>
            </w:r>
            <w:proofErr w:type="spellStart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täitmine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A50796" w14:textId="77777777" w:rsidR="00A65BB8" w:rsidRPr="00A65BB8" w:rsidRDefault="00A65BB8" w:rsidP="00A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2024 </w:t>
            </w:r>
            <w:proofErr w:type="spellStart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</w:t>
            </w:r>
            <w:proofErr w:type="spellStart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täitmine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20DD28" w14:textId="77777777" w:rsidR="00A65BB8" w:rsidRPr="00A65BB8" w:rsidRDefault="00A65BB8" w:rsidP="00A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2025 </w:t>
            </w:r>
            <w:proofErr w:type="spellStart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</w:t>
            </w:r>
            <w:proofErr w:type="spellStart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eelarve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6D1354E" w14:textId="77777777" w:rsidR="00A65BB8" w:rsidRPr="00A65BB8" w:rsidRDefault="00A65BB8" w:rsidP="00A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Muutus</w:t>
            </w:r>
            <w:proofErr w:type="spellEnd"/>
          </w:p>
        </w:tc>
      </w:tr>
      <w:tr w:rsidR="00A65BB8" w:rsidRPr="00A65BB8" w14:paraId="764DC9AA" w14:textId="77777777" w:rsidTr="00A65BB8">
        <w:trPr>
          <w:trHeight w:val="270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5EA60" w14:textId="77777777" w:rsidR="00A65BB8" w:rsidRPr="00A65BB8" w:rsidRDefault="00A65BB8" w:rsidP="00A65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D7078" w14:textId="77777777" w:rsidR="00A65BB8" w:rsidRPr="00A65BB8" w:rsidRDefault="00A65BB8" w:rsidP="00A65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06E5C" w14:textId="77777777" w:rsidR="00A65BB8" w:rsidRPr="00A65BB8" w:rsidRDefault="00A65BB8" w:rsidP="00A65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66CD5" w14:textId="77777777" w:rsidR="00A65BB8" w:rsidRPr="00A65BB8" w:rsidRDefault="00A65BB8" w:rsidP="00A65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0D9DDB4" w14:textId="77777777" w:rsidR="00A65BB8" w:rsidRPr="00A65BB8" w:rsidRDefault="00A65BB8" w:rsidP="00A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eurot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11B1051" w14:textId="77777777" w:rsidR="00A65BB8" w:rsidRPr="00A65BB8" w:rsidRDefault="00A65BB8" w:rsidP="00A6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%</w:t>
            </w:r>
          </w:p>
        </w:tc>
      </w:tr>
      <w:tr w:rsidR="00A65BB8" w:rsidRPr="00A65BB8" w14:paraId="1B1EB9E5" w14:textId="77777777" w:rsidTr="00A65BB8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8196" w14:textId="77777777" w:rsidR="00A65BB8" w:rsidRPr="00A65BB8" w:rsidRDefault="00A65BB8" w:rsidP="00A65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KOKKU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0A9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18 705 855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13F0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18 807 284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B16F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19 095 560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C198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288 276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CEFF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1,5%</w:t>
            </w:r>
          </w:p>
        </w:tc>
      </w:tr>
      <w:tr w:rsidR="00A65BB8" w:rsidRPr="00A65BB8" w14:paraId="7176225E" w14:textId="77777777" w:rsidTr="00A65BB8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54F2" w14:textId="77777777" w:rsidR="00A65BB8" w:rsidRPr="00A65BB8" w:rsidRDefault="00A65BB8" w:rsidP="00A6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Põhitegevus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7B7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15 556 425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A357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15 477 429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FDD2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16 301 560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4A7E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824 131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826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5,3%</w:t>
            </w:r>
          </w:p>
        </w:tc>
      </w:tr>
      <w:tr w:rsidR="00A65BB8" w:rsidRPr="00A65BB8" w14:paraId="297CCC3B" w14:textId="77777777" w:rsidTr="00A65BB8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64CF" w14:textId="77777777" w:rsidR="00A65BB8" w:rsidRPr="00A65BB8" w:rsidRDefault="00A65BB8" w:rsidP="00A6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Investeerimistegevus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525C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2 197 299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623F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2 624 582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E807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2 005 000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FF8C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-619 582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A81B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-23,6%</w:t>
            </w:r>
          </w:p>
        </w:tc>
      </w:tr>
      <w:tr w:rsidR="00A65BB8" w:rsidRPr="00A65BB8" w14:paraId="7236A251" w14:textId="77777777" w:rsidTr="00A65BB8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C4A8" w14:textId="77777777" w:rsidR="00A65BB8" w:rsidRPr="00A65BB8" w:rsidRDefault="00A65BB8" w:rsidP="00A65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Finantseerimistegevus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36FA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952 131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D569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705 273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E6A6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789 000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4F6A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83 727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5892" w14:textId="77777777" w:rsidR="00A65BB8" w:rsidRPr="00A65BB8" w:rsidRDefault="00A65BB8" w:rsidP="00A6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A65BB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11,9%</w:t>
            </w:r>
          </w:p>
        </w:tc>
      </w:tr>
    </w:tbl>
    <w:p w14:paraId="4F686859" w14:textId="77777777" w:rsidR="00A65BB8" w:rsidRDefault="00A65BB8" w:rsidP="00F83879">
      <w:pPr>
        <w:spacing w:after="0"/>
        <w:jc w:val="both"/>
        <w:rPr>
          <w:rFonts w:ascii="Calibri" w:hAnsi="Calibri" w:cs="Calibri"/>
        </w:rPr>
      </w:pPr>
    </w:p>
    <w:p w14:paraId="3D1014BA" w14:textId="77777777" w:rsidR="00A65BB8" w:rsidRDefault="00A65BB8" w:rsidP="00F83879">
      <w:pPr>
        <w:spacing w:after="0"/>
        <w:jc w:val="both"/>
        <w:rPr>
          <w:rFonts w:ascii="Calibri" w:hAnsi="Calibri" w:cs="Calibri"/>
        </w:rPr>
      </w:pPr>
    </w:p>
    <w:p w14:paraId="0297A1AC" w14:textId="15CBA2F5" w:rsidR="00E77A12" w:rsidRPr="00706F0E" w:rsidRDefault="002C73EE" w:rsidP="007B19CD">
      <w:p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>Väljaminekuid rahastatakse valla enda rahalistest vahenditest (</w:t>
      </w:r>
      <w:r w:rsidR="00F02918">
        <w:rPr>
          <w:rFonts w:ascii="Calibri" w:hAnsi="Calibri" w:cs="Calibri"/>
        </w:rPr>
        <w:t>66,</w:t>
      </w:r>
      <w:r w:rsidR="00245C0B">
        <w:rPr>
          <w:rFonts w:ascii="Calibri" w:hAnsi="Calibri" w:cs="Calibri"/>
        </w:rPr>
        <w:t>1</w:t>
      </w:r>
      <w:r w:rsidRPr="00706F0E">
        <w:rPr>
          <w:rFonts w:ascii="Calibri" w:hAnsi="Calibri" w:cs="Calibri"/>
        </w:rPr>
        <w:t>%), toetustest (</w:t>
      </w:r>
      <w:r w:rsidR="00242614" w:rsidRPr="00706F0E">
        <w:rPr>
          <w:rFonts w:ascii="Calibri" w:hAnsi="Calibri" w:cs="Calibri"/>
        </w:rPr>
        <w:t>2</w:t>
      </w:r>
      <w:r w:rsidR="00245C0B">
        <w:rPr>
          <w:rFonts w:ascii="Calibri" w:hAnsi="Calibri" w:cs="Calibri"/>
        </w:rPr>
        <w:t>8,1</w:t>
      </w:r>
      <w:r w:rsidRPr="00706F0E">
        <w:rPr>
          <w:rFonts w:ascii="Calibri" w:hAnsi="Calibri" w:cs="Calibri"/>
        </w:rPr>
        <w:t>%) ja valla asutuste teenitud tuludest (</w:t>
      </w:r>
      <w:r w:rsidR="00242614" w:rsidRPr="00706F0E">
        <w:rPr>
          <w:rFonts w:ascii="Calibri" w:hAnsi="Calibri" w:cs="Calibri"/>
        </w:rPr>
        <w:t>5</w:t>
      </w:r>
      <w:r w:rsidR="00245C0B">
        <w:rPr>
          <w:rFonts w:ascii="Calibri" w:hAnsi="Calibri" w:cs="Calibri"/>
        </w:rPr>
        <w:t>,8</w:t>
      </w:r>
      <w:r w:rsidRPr="00706F0E">
        <w:rPr>
          <w:rFonts w:ascii="Calibri" w:hAnsi="Calibri" w:cs="Calibri"/>
        </w:rPr>
        <w:t>%). Valla enda rahalised vahendid on vallale laekuvad tulud (põhitegevuse tulud ja investeerimistegevuse tulud), kaasatavad laenuvahendid ning likviidsete varade (aasta alguses pangakontodel oleva raha) kasutuselevõtm</w:t>
      </w:r>
      <w:r w:rsidR="00E77A12" w:rsidRPr="00706F0E">
        <w:rPr>
          <w:rFonts w:ascii="Calibri" w:hAnsi="Calibri" w:cs="Calibri"/>
        </w:rPr>
        <w:t>ine.</w:t>
      </w:r>
    </w:p>
    <w:p w14:paraId="457FA2F5" w14:textId="77777777" w:rsidR="009A3A22" w:rsidRDefault="009A3A22" w:rsidP="007B19CD">
      <w:pPr>
        <w:jc w:val="both"/>
        <w:rPr>
          <w:rFonts w:ascii="Calibri" w:hAnsi="Calibri" w:cs="Calibri"/>
        </w:rPr>
      </w:pPr>
    </w:p>
    <w:p w14:paraId="5D7F6B4F" w14:textId="4C9B599C" w:rsidR="00B9051B" w:rsidRPr="00706F0E" w:rsidRDefault="00E77A12" w:rsidP="007B19CD">
      <w:p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Tulude eelarve koosneb põhitegevuse tuludest ja investeerimistegevuse tuludest. </w:t>
      </w:r>
      <w:r w:rsidR="00021063" w:rsidRPr="00706F0E">
        <w:rPr>
          <w:rFonts w:ascii="Calibri" w:hAnsi="Calibri" w:cs="Calibri"/>
        </w:rPr>
        <w:t>Tulude k</w:t>
      </w:r>
      <w:r w:rsidRPr="00706F0E">
        <w:rPr>
          <w:rFonts w:ascii="Calibri" w:hAnsi="Calibri" w:cs="Calibri"/>
        </w:rPr>
        <w:t>asvu panustab kõige enam füüsilise isiku tulumaks, mille kasv tuleneb eelkõige palgataseme tõusust.</w:t>
      </w:r>
    </w:p>
    <w:p w14:paraId="5055A347" w14:textId="0065B6A9" w:rsidR="00B9051B" w:rsidRPr="00706F0E" w:rsidRDefault="00E77A12" w:rsidP="00706F0E">
      <w:pPr>
        <w:spacing w:after="0"/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>Joonis 1. Tulud liigiti  2022 -202</w:t>
      </w:r>
      <w:r w:rsidR="00B9051B">
        <w:rPr>
          <w:rFonts w:ascii="Calibri" w:hAnsi="Calibri" w:cs="Calibri"/>
        </w:rPr>
        <w:t>5</w:t>
      </w:r>
      <w:r w:rsidR="00021063" w:rsidRPr="00706F0E">
        <w:rPr>
          <w:rFonts w:ascii="Calibri" w:hAnsi="Calibri" w:cs="Calibri"/>
        </w:rPr>
        <w:t xml:space="preserve"> (meur)</w:t>
      </w:r>
    </w:p>
    <w:p w14:paraId="5971C197" w14:textId="4E5808DF" w:rsidR="00662BBC" w:rsidRDefault="00B9051B" w:rsidP="007B19CD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259250F" wp14:editId="30A55A32">
            <wp:extent cx="5419725" cy="3476625"/>
            <wp:effectExtent l="0" t="0" r="9525" b="9525"/>
            <wp:docPr id="21341827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E5C7773-CD71-28D1-1F83-50E147244F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E316600" w14:textId="77777777" w:rsidR="00B9051B" w:rsidRDefault="00B9051B" w:rsidP="007B19CD">
      <w:pPr>
        <w:jc w:val="both"/>
        <w:rPr>
          <w:noProof/>
        </w:rPr>
      </w:pPr>
    </w:p>
    <w:p w14:paraId="4C191FAF" w14:textId="77777777" w:rsidR="00B9051B" w:rsidRDefault="00B9051B" w:rsidP="007B19CD">
      <w:pPr>
        <w:jc w:val="both"/>
        <w:rPr>
          <w:noProof/>
        </w:rPr>
      </w:pPr>
    </w:p>
    <w:p w14:paraId="04D42BDB" w14:textId="77777777" w:rsidR="003574D1" w:rsidRDefault="003574D1" w:rsidP="007B19CD">
      <w:pPr>
        <w:jc w:val="both"/>
        <w:rPr>
          <w:rFonts w:ascii="Calibri" w:hAnsi="Calibri" w:cs="Calibri"/>
          <w:b/>
          <w:bCs/>
        </w:rPr>
      </w:pPr>
    </w:p>
    <w:p w14:paraId="0DC2D41F" w14:textId="5282F3EA" w:rsidR="00E77A12" w:rsidRPr="008A2A26" w:rsidRDefault="00E77A12" w:rsidP="007B19CD">
      <w:pPr>
        <w:jc w:val="both"/>
        <w:rPr>
          <w:rFonts w:ascii="Calibri" w:hAnsi="Calibri" w:cs="Calibri"/>
          <w:b/>
          <w:bCs/>
        </w:rPr>
      </w:pPr>
      <w:r w:rsidRPr="008A2A26">
        <w:rPr>
          <w:rFonts w:ascii="Calibri" w:hAnsi="Calibri" w:cs="Calibri"/>
          <w:b/>
          <w:bCs/>
        </w:rPr>
        <w:lastRenderedPageBreak/>
        <w:t>Põhitegevuse tulud</w:t>
      </w:r>
    </w:p>
    <w:p w14:paraId="2375FB20" w14:textId="51E8F865" w:rsidR="00E77A12" w:rsidRPr="00706F0E" w:rsidRDefault="00E77A12" w:rsidP="007B19CD">
      <w:p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>202</w:t>
      </w:r>
      <w:r w:rsidR="00220518">
        <w:rPr>
          <w:rFonts w:ascii="Calibri" w:hAnsi="Calibri" w:cs="Calibri"/>
        </w:rPr>
        <w:t>5</w:t>
      </w:r>
      <w:r w:rsidRPr="00706F0E">
        <w:rPr>
          <w:rFonts w:ascii="Calibri" w:hAnsi="Calibri" w:cs="Calibri"/>
        </w:rPr>
        <w:t xml:space="preserve">. aasta eelarves on planeeritud põhitegevuse tulud </w:t>
      </w:r>
      <w:r w:rsidR="0027330F" w:rsidRPr="00706F0E">
        <w:rPr>
          <w:rFonts w:ascii="Calibri" w:hAnsi="Calibri" w:cs="Calibri"/>
        </w:rPr>
        <w:t>1</w:t>
      </w:r>
      <w:r w:rsidR="00021063" w:rsidRPr="00706F0E">
        <w:rPr>
          <w:rFonts w:ascii="Calibri" w:hAnsi="Calibri" w:cs="Calibri"/>
        </w:rPr>
        <w:t>7,</w:t>
      </w:r>
      <w:r w:rsidR="00220518">
        <w:rPr>
          <w:rFonts w:ascii="Calibri" w:hAnsi="Calibri" w:cs="Calibri"/>
        </w:rPr>
        <w:t>5</w:t>
      </w:r>
      <w:r w:rsidR="0027330F" w:rsidRPr="00706F0E">
        <w:rPr>
          <w:rFonts w:ascii="Calibri" w:hAnsi="Calibri" w:cs="Calibri"/>
        </w:rPr>
        <w:t xml:space="preserve"> </w:t>
      </w:r>
      <w:r w:rsidRPr="00706F0E">
        <w:rPr>
          <w:rFonts w:ascii="Calibri" w:hAnsi="Calibri" w:cs="Calibri"/>
        </w:rPr>
        <w:t>meurot. See on</w:t>
      </w:r>
      <w:r w:rsidR="0027330F" w:rsidRPr="00706F0E">
        <w:rPr>
          <w:rFonts w:ascii="Calibri" w:hAnsi="Calibri" w:cs="Calibri"/>
        </w:rPr>
        <w:t xml:space="preserve"> 0,</w:t>
      </w:r>
      <w:r w:rsidR="00220518">
        <w:rPr>
          <w:rFonts w:ascii="Calibri" w:hAnsi="Calibri" w:cs="Calibri"/>
        </w:rPr>
        <w:t>4</w:t>
      </w:r>
      <w:r w:rsidR="0027330F" w:rsidRPr="00706F0E">
        <w:rPr>
          <w:rFonts w:ascii="Calibri" w:hAnsi="Calibri" w:cs="Calibri"/>
        </w:rPr>
        <w:t xml:space="preserve"> m</w:t>
      </w:r>
      <w:r w:rsidRPr="00706F0E">
        <w:rPr>
          <w:rFonts w:ascii="Calibri" w:hAnsi="Calibri" w:cs="Calibri"/>
        </w:rPr>
        <w:t xml:space="preserve">eurot ehk </w:t>
      </w:r>
      <w:r w:rsidR="0027330F" w:rsidRPr="00706F0E">
        <w:rPr>
          <w:rFonts w:ascii="Calibri" w:hAnsi="Calibri" w:cs="Calibri"/>
        </w:rPr>
        <w:t xml:space="preserve"> </w:t>
      </w:r>
      <w:r w:rsidR="00220518">
        <w:rPr>
          <w:rFonts w:ascii="Calibri" w:hAnsi="Calibri" w:cs="Calibri"/>
        </w:rPr>
        <w:t>2,4</w:t>
      </w:r>
      <w:r w:rsidRPr="00706F0E">
        <w:rPr>
          <w:rFonts w:ascii="Calibri" w:hAnsi="Calibri" w:cs="Calibri"/>
        </w:rPr>
        <w:t>% enam kui 202</w:t>
      </w:r>
      <w:r w:rsidR="00220518">
        <w:rPr>
          <w:rFonts w:ascii="Calibri" w:hAnsi="Calibri" w:cs="Calibri"/>
        </w:rPr>
        <w:t>4</w:t>
      </w:r>
      <w:r w:rsidRPr="00706F0E">
        <w:rPr>
          <w:rFonts w:ascii="Calibri" w:hAnsi="Calibri" w:cs="Calibri"/>
        </w:rPr>
        <w:t>. aasta eelarve täitmis</w:t>
      </w:r>
      <w:r w:rsidR="00021063" w:rsidRPr="00706F0E">
        <w:rPr>
          <w:rFonts w:ascii="Calibri" w:hAnsi="Calibri" w:cs="Calibri"/>
        </w:rPr>
        <w:t xml:space="preserve">es. </w:t>
      </w:r>
      <w:r w:rsidRPr="00706F0E">
        <w:rPr>
          <w:rFonts w:ascii="Calibri" w:hAnsi="Calibri" w:cs="Calibri"/>
        </w:rPr>
        <w:t xml:space="preserve">Põhiliseks tuluallikaks on maksud, millest </w:t>
      </w:r>
      <w:r w:rsidR="00021063" w:rsidRPr="00706F0E">
        <w:rPr>
          <w:rFonts w:ascii="Calibri" w:hAnsi="Calibri" w:cs="Calibri"/>
        </w:rPr>
        <w:t>9</w:t>
      </w:r>
      <w:r w:rsidR="00545B01">
        <w:rPr>
          <w:rFonts w:ascii="Calibri" w:hAnsi="Calibri" w:cs="Calibri"/>
        </w:rPr>
        <w:t>6,4</w:t>
      </w:r>
      <w:r w:rsidRPr="00706F0E">
        <w:rPr>
          <w:rFonts w:ascii="Calibri" w:hAnsi="Calibri" w:cs="Calibri"/>
        </w:rPr>
        <w:t xml:space="preserve">% moodustab füüsilise isiku tulumaks. Teiseks suuremaks tuluallikaks on toetused, millest enamik laekub </w:t>
      </w:r>
      <w:r w:rsidR="004948CC" w:rsidRPr="00706F0E">
        <w:rPr>
          <w:rFonts w:ascii="Calibri" w:hAnsi="Calibri" w:cs="Calibri"/>
        </w:rPr>
        <w:t>riigieelarvest. Olulise osa moodustavad ka asutuste kaupade ja teenuste müügist saadavad tulud.</w:t>
      </w:r>
    </w:p>
    <w:p w14:paraId="77506FCE" w14:textId="5539E920" w:rsidR="004948CC" w:rsidRPr="00706F0E" w:rsidRDefault="004948CC" w:rsidP="007B19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Põhitegevuse tuludest üle poole ehk </w:t>
      </w:r>
      <w:r w:rsidR="00706F0E">
        <w:rPr>
          <w:rFonts w:ascii="Calibri" w:hAnsi="Calibri" w:cs="Calibri"/>
        </w:rPr>
        <w:t>11,</w:t>
      </w:r>
      <w:r w:rsidR="00545B01">
        <w:rPr>
          <w:rFonts w:ascii="Calibri" w:hAnsi="Calibri" w:cs="Calibri"/>
        </w:rPr>
        <w:t>7</w:t>
      </w:r>
      <w:r w:rsidR="00706F0E">
        <w:rPr>
          <w:rFonts w:ascii="Calibri" w:hAnsi="Calibri" w:cs="Calibri"/>
        </w:rPr>
        <w:t xml:space="preserve"> </w:t>
      </w:r>
      <w:r w:rsidRPr="00706F0E">
        <w:rPr>
          <w:rFonts w:ascii="Calibri" w:hAnsi="Calibri" w:cs="Calibri"/>
        </w:rPr>
        <w:t>miljonit</w:t>
      </w:r>
      <w:r w:rsidR="008A2A26">
        <w:rPr>
          <w:rFonts w:ascii="Calibri" w:hAnsi="Calibri" w:cs="Calibri"/>
        </w:rPr>
        <w:t xml:space="preserve"> eurot</w:t>
      </w:r>
      <w:r w:rsidRPr="00706F0E">
        <w:rPr>
          <w:rFonts w:ascii="Calibri" w:hAnsi="Calibri" w:cs="Calibri"/>
        </w:rPr>
        <w:t xml:space="preserve"> moodustab tulumaks (võrreldes 202</w:t>
      </w:r>
      <w:r w:rsidR="00545B01">
        <w:rPr>
          <w:rFonts w:ascii="Calibri" w:hAnsi="Calibri" w:cs="Calibri"/>
        </w:rPr>
        <w:t>4</w:t>
      </w:r>
      <w:r w:rsidRPr="00706F0E">
        <w:rPr>
          <w:rFonts w:ascii="Calibri" w:hAnsi="Calibri" w:cs="Calibri"/>
        </w:rPr>
        <w:t>. aastaga kasv +</w:t>
      </w:r>
      <w:r w:rsidR="00545B01">
        <w:rPr>
          <w:rFonts w:ascii="Calibri" w:hAnsi="Calibri" w:cs="Calibri"/>
        </w:rPr>
        <w:t>3,5</w:t>
      </w:r>
      <w:r w:rsidRPr="00706F0E">
        <w:rPr>
          <w:rFonts w:ascii="Calibri" w:hAnsi="Calibri" w:cs="Calibri"/>
        </w:rPr>
        <w:t>%).  Kasvu panustavad üldine palgataseme tõus ning kohalike omavalitsuste rahastamissüsteemi muudatused.</w:t>
      </w:r>
      <w:r w:rsidR="00706F0E" w:rsidRPr="00706F0E">
        <w:rPr>
          <w:rFonts w:ascii="Calibri" w:hAnsi="Calibri" w:cs="Calibri"/>
        </w:rPr>
        <w:t xml:space="preserve"> (</w:t>
      </w:r>
      <w:r w:rsidR="00706F0E" w:rsidRPr="00706F0E">
        <w:rPr>
          <w:rFonts w:ascii="Calibri" w:eastAsia="Calibri" w:hAnsi="Calibri" w:cs="Calibri"/>
          <w:kern w:val="0"/>
          <w14:ligatures w14:val="none"/>
        </w:rPr>
        <w:t>Tulumaksuseaduse §5 lõike 1 kohaselt laekub 202</w:t>
      </w:r>
      <w:r w:rsidR="00545B01">
        <w:rPr>
          <w:rFonts w:ascii="Calibri" w:eastAsia="Calibri" w:hAnsi="Calibri" w:cs="Calibri"/>
          <w:kern w:val="0"/>
          <w14:ligatures w14:val="none"/>
        </w:rPr>
        <w:t>5</w:t>
      </w:r>
      <w:r w:rsidR="00706F0E" w:rsidRPr="00706F0E">
        <w:rPr>
          <w:rFonts w:ascii="Calibri" w:eastAsia="Calibri" w:hAnsi="Calibri" w:cs="Calibri"/>
          <w:kern w:val="0"/>
          <w14:ligatures w14:val="none"/>
        </w:rPr>
        <w:t xml:space="preserve">.aastal maksumaksja elukohajärgsele kohaliku omavalitsuse üksusele </w:t>
      </w:r>
      <w:r w:rsidR="00545B01">
        <w:rPr>
          <w:rFonts w:ascii="Calibri" w:eastAsia="Calibri" w:hAnsi="Calibri" w:cs="Calibri"/>
          <w:kern w:val="0"/>
          <w14:ligatures w14:val="none"/>
        </w:rPr>
        <w:t>5</w:t>
      </w:r>
      <w:r w:rsidR="00706F0E" w:rsidRPr="00706F0E">
        <w:rPr>
          <w:rFonts w:ascii="Calibri" w:eastAsia="Calibri" w:hAnsi="Calibri" w:cs="Calibri"/>
          <w:kern w:val="0"/>
          <w14:ligatures w14:val="none"/>
        </w:rPr>
        <w:t>,5% residendist füüsilise isiku riiklikust pensionist ja 11,</w:t>
      </w:r>
      <w:r w:rsidR="00545B01">
        <w:rPr>
          <w:rFonts w:ascii="Calibri" w:eastAsia="Calibri" w:hAnsi="Calibri" w:cs="Calibri"/>
          <w:kern w:val="0"/>
          <w14:ligatures w14:val="none"/>
        </w:rPr>
        <w:t>2</w:t>
      </w:r>
      <w:r w:rsidR="00706F0E" w:rsidRPr="00706F0E">
        <w:rPr>
          <w:rFonts w:ascii="Calibri" w:eastAsia="Calibri" w:hAnsi="Calibri" w:cs="Calibri"/>
          <w:kern w:val="0"/>
          <w14:ligatures w14:val="none"/>
        </w:rPr>
        <w:t xml:space="preserve">9% residendist füüsilise isiku muust maksustavast tulust). </w:t>
      </w:r>
      <w:r w:rsidRPr="00706F0E">
        <w:rPr>
          <w:rFonts w:ascii="Calibri" w:hAnsi="Calibri" w:cs="Calibri"/>
        </w:rPr>
        <w:t xml:space="preserve"> Muid makse laekub </w:t>
      </w:r>
      <w:r w:rsidR="00706F0E">
        <w:rPr>
          <w:rFonts w:ascii="Calibri" w:hAnsi="Calibri" w:cs="Calibri"/>
        </w:rPr>
        <w:t>0,</w:t>
      </w:r>
      <w:r w:rsidR="00545B01">
        <w:rPr>
          <w:rFonts w:ascii="Calibri" w:hAnsi="Calibri" w:cs="Calibri"/>
        </w:rPr>
        <w:t>4</w:t>
      </w:r>
      <w:r w:rsidR="00706F0E">
        <w:rPr>
          <w:rFonts w:ascii="Calibri" w:hAnsi="Calibri" w:cs="Calibri"/>
        </w:rPr>
        <w:t xml:space="preserve"> </w:t>
      </w:r>
      <w:r w:rsidRPr="00706F0E">
        <w:rPr>
          <w:rFonts w:ascii="Calibri" w:hAnsi="Calibri" w:cs="Calibri"/>
        </w:rPr>
        <w:t xml:space="preserve">miljonit eurot. </w:t>
      </w:r>
    </w:p>
    <w:p w14:paraId="38A5031E" w14:textId="493D273F" w:rsidR="004948CC" w:rsidRPr="00706F0E" w:rsidRDefault="004948CC" w:rsidP="007B19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Kaupade ja teenuste müügist kogutakse eelarvesse </w:t>
      </w:r>
      <w:r w:rsidR="00706F0E">
        <w:rPr>
          <w:rFonts w:ascii="Calibri" w:hAnsi="Calibri" w:cs="Calibri"/>
        </w:rPr>
        <w:t>1</w:t>
      </w:r>
      <w:r w:rsidR="00545B01">
        <w:rPr>
          <w:rFonts w:ascii="Calibri" w:hAnsi="Calibri" w:cs="Calibri"/>
        </w:rPr>
        <w:t>,1</w:t>
      </w:r>
      <w:r w:rsidR="00706F0E">
        <w:rPr>
          <w:rFonts w:ascii="Calibri" w:hAnsi="Calibri" w:cs="Calibri"/>
        </w:rPr>
        <w:t xml:space="preserve"> </w:t>
      </w:r>
      <w:r w:rsidRPr="00706F0E">
        <w:rPr>
          <w:rFonts w:ascii="Calibri" w:hAnsi="Calibri" w:cs="Calibri"/>
        </w:rPr>
        <w:t>miljon</w:t>
      </w:r>
      <w:r w:rsidR="00706F0E">
        <w:rPr>
          <w:rFonts w:ascii="Calibri" w:hAnsi="Calibri" w:cs="Calibri"/>
        </w:rPr>
        <w:t xml:space="preserve"> </w:t>
      </w:r>
      <w:r w:rsidRPr="00706F0E">
        <w:rPr>
          <w:rFonts w:ascii="Calibri" w:hAnsi="Calibri" w:cs="Calibri"/>
        </w:rPr>
        <w:t>eurot (+</w:t>
      </w:r>
      <w:r w:rsidR="000C53B1">
        <w:rPr>
          <w:rFonts w:ascii="Calibri" w:hAnsi="Calibri" w:cs="Calibri"/>
        </w:rPr>
        <w:t>1</w:t>
      </w:r>
      <w:r w:rsidR="00545B01">
        <w:rPr>
          <w:rFonts w:ascii="Calibri" w:hAnsi="Calibri" w:cs="Calibri"/>
        </w:rPr>
        <w:t>3,5</w:t>
      </w:r>
      <w:r w:rsidRPr="00706F0E">
        <w:rPr>
          <w:rFonts w:ascii="Calibri" w:hAnsi="Calibri" w:cs="Calibri"/>
        </w:rPr>
        <w:t>%). Tulu kasv tuleneb ka haridusalasest tegevusest, sest õppekoha arvestusliku maksumuse tõusu tõttu suurenevad teistelt omavalitsustelt laekuvad tulud.</w:t>
      </w:r>
    </w:p>
    <w:p w14:paraId="08E43D27" w14:textId="5E5580C9" w:rsidR="004948CC" w:rsidRPr="00706F0E" w:rsidRDefault="004948CC" w:rsidP="007B19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 Saadud toetuseid on eelarves </w:t>
      </w:r>
      <w:r w:rsidR="000C53B1">
        <w:rPr>
          <w:rFonts w:ascii="Calibri" w:hAnsi="Calibri" w:cs="Calibri"/>
        </w:rPr>
        <w:t xml:space="preserve">4,6 </w:t>
      </w:r>
      <w:r w:rsidRPr="00706F0E">
        <w:rPr>
          <w:rFonts w:ascii="Calibri" w:hAnsi="Calibri" w:cs="Calibri"/>
        </w:rPr>
        <w:t>miljonit eurot (-</w:t>
      </w:r>
      <w:r w:rsidR="00545B01">
        <w:rPr>
          <w:rFonts w:ascii="Calibri" w:hAnsi="Calibri" w:cs="Calibri"/>
        </w:rPr>
        <w:t>2</w:t>
      </w:r>
      <w:r w:rsidRPr="00706F0E">
        <w:rPr>
          <w:rFonts w:ascii="Calibri" w:hAnsi="Calibri" w:cs="Calibri"/>
        </w:rPr>
        <w:t xml:space="preserve">%). Toetuste vähenemine tuleneb kohalike omavalitsuste rahastamissüsteemi muudatustest, mille tulemusena on osad varem toetusfondist eraldatud toetused tõstetud tulubaasi (eelkõige tulumaksu koosseisu, nt üldhoolduse kuludeks saavad omavalitsused 1,88% pensionitulust ning asendus- ja järelhoolduse ning matusetoetuse kuludeks on muudelt tuludelt omavalitsustele laekuvat tulumaksu suurendatud 0,1 protsendipunkti). </w:t>
      </w:r>
    </w:p>
    <w:p w14:paraId="5CC38E72" w14:textId="0AEAA5E4" w:rsidR="004948CC" w:rsidRPr="00706F0E" w:rsidRDefault="004948CC" w:rsidP="007B19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 Muud tulud (keskkonnatasud, trahvid jms) on kavandatud </w:t>
      </w:r>
      <w:r w:rsidR="000C53B1">
        <w:rPr>
          <w:rFonts w:ascii="Calibri" w:hAnsi="Calibri" w:cs="Calibri"/>
        </w:rPr>
        <w:t xml:space="preserve">0,09 miljonit </w:t>
      </w:r>
      <w:r w:rsidRPr="00706F0E">
        <w:rPr>
          <w:rFonts w:ascii="Calibri" w:hAnsi="Calibri" w:cs="Calibri"/>
        </w:rPr>
        <w:t>eurot.</w:t>
      </w:r>
    </w:p>
    <w:p w14:paraId="0E12FD50" w14:textId="77777777" w:rsidR="004948CC" w:rsidRDefault="004948CC" w:rsidP="007B19CD">
      <w:pPr>
        <w:jc w:val="both"/>
        <w:rPr>
          <w:rFonts w:ascii="Calibri" w:hAnsi="Calibri" w:cs="Calibri"/>
          <w:b/>
          <w:bCs/>
        </w:rPr>
      </w:pPr>
    </w:p>
    <w:p w14:paraId="5EFC0256" w14:textId="77777777" w:rsidR="003574D1" w:rsidRPr="008A2A26" w:rsidRDefault="003574D1" w:rsidP="007B19CD">
      <w:pPr>
        <w:jc w:val="both"/>
        <w:rPr>
          <w:rFonts w:ascii="Calibri" w:hAnsi="Calibri" w:cs="Calibri"/>
          <w:b/>
          <w:bCs/>
        </w:rPr>
      </w:pPr>
    </w:p>
    <w:p w14:paraId="74E4D288" w14:textId="6589B870" w:rsidR="004948CC" w:rsidRPr="008A2A26" w:rsidRDefault="007B19CD" w:rsidP="007B19CD">
      <w:pPr>
        <w:jc w:val="both"/>
        <w:rPr>
          <w:rFonts w:ascii="Calibri" w:hAnsi="Calibri" w:cs="Calibri"/>
          <w:b/>
          <w:bCs/>
        </w:rPr>
      </w:pPr>
      <w:r w:rsidRPr="008A2A26">
        <w:rPr>
          <w:rFonts w:ascii="Calibri" w:hAnsi="Calibri" w:cs="Calibri"/>
          <w:b/>
          <w:bCs/>
        </w:rPr>
        <w:t>Põhitegevuse kulud</w:t>
      </w:r>
    </w:p>
    <w:p w14:paraId="0AAACA8B" w14:textId="168AE36E" w:rsidR="007B19CD" w:rsidRPr="00706F0E" w:rsidRDefault="007B19CD" w:rsidP="007B19CD">
      <w:p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>202</w:t>
      </w:r>
      <w:r w:rsidR="0072693C">
        <w:rPr>
          <w:rFonts w:ascii="Calibri" w:hAnsi="Calibri" w:cs="Calibri"/>
        </w:rPr>
        <w:t>5</w:t>
      </w:r>
      <w:r w:rsidRPr="00706F0E">
        <w:rPr>
          <w:rFonts w:ascii="Calibri" w:hAnsi="Calibri" w:cs="Calibri"/>
        </w:rPr>
        <w:t xml:space="preserve">. aasta eelarves on planeeritud põhitegevuse kulud </w:t>
      </w:r>
      <w:r w:rsidR="000C53B1">
        <w:rPr>
          <w:rFonts w:ascii="Calibri" w:hAnsi="Calibri" w:cs="Calibri"/>
        </w:rPr>
        <w:t>16</w:t>
      </w:r>
      <w:r w:rsidR="0072693C">
        <w:rPr>
          <w:rFonts w:ascii="Calibri" w:hAnsi="Calibri" w:cs="Calibri"/>
        </w:rPr>
        <w:t>,3</w:t>
      </w:r>
      <w:r w:rsidR="000C53B1">
        <w:rPr>
          <w:rFonts w:ascii="Calibri" w:hAnsi="Calibri" w:cs="Calibri"/>
        </w:rPr>
        <w:t xml:space="preserve"> miljonit </w:t>
      </w:r>
      <w:r w:rsidRPr="00706F0E">
        <w:rPr>
          <w:rFonts w:ascii="Calibri" w:hAnsi="Calibri" w:cs="Calibri"/>
        </w:rPr>
        <w:t>eurot. Eelmise aasta</w:t>
      </w:r>
      <w:r w:rsidR="000C53B1">
        <w:rPr>
          <w:rFonts w:ascii="Calibri" w:hAnsi="Calibri" w:cs="Calibri"/>
        </w:rPr>
        <w:t xml:space="preserve"> täitmisega </w:t>
      </w:r>
      <w:r w:rsidRPr="00706F0E">
        <w:rPr>
          <w:rFonts w:ascii="Calibri" w:hAnsi="Calibri" w:cs="Calibri"/>
        </w:rPr>
        <w:t xml:space="preserve">võrreldes kasvavad kulud </w:t>
      </w:r>
      <w:r w:rsidR="00DD07EA">
        <w:rPr>
          <w:rFonts w:ascii="Calibri" w:hAnsi="Calibri" w:cs="Calibri"/>
        </w:rPr>
        <w:t>5</w:t>
      </w:r>
      <w:r w:rsidR="000C53B1">
        <w:rPr>
          <w:rFonts w:ascii="Calibri" w:hAnsi="Calibri" w:cs="Calibri"/>
        </w:rPr>
        <w:t>,</w:t>
      </w:r>
      <w:r w:rsidR="00DD07EA">
        <w:rPr>
          <w:rFonts w:ascii="Calibri" w:hAnsi="Calibri" w:cs="Calibri"/>
        </w:rPr>
        <w:t>3</w:t>
      </w:r>
      <w:r w:rsidRPr="00706F0E">
        <w:rPr>
          <w:rFonts w:ascii="Calibri" w:hAnsi="Calibri" w:cs="Calibri"/>
        </w:rPr>
        <w:t>%. Põhitegevuse kulud jaotuvad kaheksa erineva valdkonna vahel, mis omakorda jagunevad majandusliku sisu alusel toetusteks ja muudeks tegevuskuludeks.</w:t>
      </w:r>
    </w:p>
    <w:p w14:paraId="4C9D112E" w14:textId="59D650FE" w:rsidR="004948CC" w:rsidRPr="00706F0E" w:rsidRDefault="007B19CD" w:rsidP="007B19CD">
      <w:pPr>
        <w:jc w:val="both"/>
        <w:rPr>
          <w:rFonts w:ascii="Calibri" w:hAnsi="Calibri" w:cs="Calibri"/>
        </w:rPr>
      </w:pPr>
      <w:r w:rsidRPr="000C53B1">
        <w:rPr>
          <w:rFonts w:ascii="Calibri" w:hAnsi="Calibri" w:cs="Calibri"/>
        </w:rPr>
        <w:t>Üle poole põhitegevuse kuludest</w:t>
      </w:r>
      <w:r w:rsidR="00242C18">
        <w:rPr>
          <w:rFonts w:ascii="Calibri" w:hAnsi="Calibri" w:cs="Calibri"/>
        </w:rPr>
        <w:t xml:space="preserve"> (6</w:t>
      </w:r>
      <w:r w:rsidR="00DD07EA">
        <w:rPr>
          <w:rFonts w:ascii="Calibri" w:hAnsi="Calibri" w:cs="Calibri"/>
        </w:rPr>
        <w:t>3,6</w:t>
      </w:r>
      <w:r w:rsidR="00242C18">
        <w:rPr>
          <w:rFonts w:ascii="Calibri" w:hAnsi="Calibri" w:cs="Calibri"/>
        </w:rPr>
        <w:t>%)</w:t>
      </w:r>
      <w:r w:rsidRPr="000C53B1">
        <w:rPr>
          <w:rFonts w:ascii="Calibri" w:hAnsi="Calibri" w:cs="Calibri"/>
        </w:rPr>
        <w:t xml:space="preserve"> on hariduse valdkonna eelarves. Üle </w:t>
      </w:r>
      <w:r w:rsidR="0022557A">
        <w:rPr>
          <w:rFonts w:ascii="Calibri" w:hAnsi="Calibri" w:cs="Calibri"/>
        </w:rPr>
        <w:t>7</w:t>
      </w:r>
      <w:r w:rsidR="00DD07EA">
        <w:rPr>
          <w:rFonts w:ascii="Calibri" w:hAnsi="Calibri" w:cs="Calibri"/>
        </w:rPr>
        <w:t>1,9</w:t>
      </w:r>
      <w:r w:rsidRPr="000C53B1">
        <w:rPr>
          <w:rFonts w:ascii="Calibri" w:hAnsi="Calibri" w:cs="Calibri"/>
        </w:rPr>
        <w:t>% sellest moodustavad haridustöötajate tööjõukulud ning teise olulise osa haridusasutuste majandamiskulud. Haridusvaldkonna kuludest rahastatakse</w:t>
      </w:r>
      <w:r w:rsidR="00242C18">
        <w:rPr>
          <w:rFonts w:ascii="Calibri" w:hAnsi="Calibri" w:cs="Calibri"/>
        </w:rPr>
        <w:t xml:space="preserve"> 2</w:t>
      </w:r>
      <w:r w:rsidR="00DD07EA">
        <w:rPr>
          <w:rFonts w:ascii="Calibri" w:hAnsi="Calibri" w:cs="Calibri"/>
        </w:rPr>
        <w:t>9,7</w:t>
      </w:r>
      <w:r w:rsidRPr="000C53B1">
        <w:rPr>
          <w:rFonts w:ascii="Calibri" w:hAnsi="Calibri" w:cs="Calibri"/>
        </w:rPr>
        <w:t xml:space="preserve">% riigieelarvest, millest suurima osa moodustab toetusfondist saadav üldhariduskoolide õpetajate tööjõukulude toetus. Kooliõpetajate palgaraha tuleb riigieelarvest ja sellele lisab Kohila vald lisaks </w:t>
      </w:r>
      <w:r w:rsidR="003574D1">
        <w:rPr>
          <w:rFonts w:ascii="Calibri" w:hAnsi="Calibri" w:cs="Calibri"/>
        </w:rPr>
        <w:t>331 936</w:t>
      </w:r>
      <w:r w:rsidR="00242C18">
        <w:rPr>
          <w:rFonts w:ascii="Calibri" w:hAnsi="Calibri" w:cs="Calibri"/>
        </w:rPr>
        <w:t xml:space="preserve"> </w:t>
      </w:r>
      <w:r w:rsidRPr="000C53B1">
        <w:rPr>
          <w:rFonts w:ascii="Calibri" w:hAnsi="Calibri" w:cs="Calibri"/>
        </w:rPr>
        <w:t>eurot. Omavalitsused finantseerivad tugispetsialistide, abipersonali ja lasteaedade õpetajate tööjõukulu. Lasteaia õpetajate tööjõukulu</w:t>
      </w:r>
      <w:r w:rsidR="00A55262">
        <w:rPr>
          <w:rFonts w:ascii="Calibri" w:hAnsi="Calibri" w:cs="Calibri"/>
        </w:rPr>
        <w:t xml:space="preserve">de palgaraha tuleb </w:t>
      </w:r>
      <w:r w:rsidR="001A4F67">
        <w:rPr>
          <w:rFonts w:ascii="Calibri" w:hAnsi="Calibri" w:cs="Calibri"/>
        </w:rPr>
        <w:t xml:space="preserve">valla rahalistest vahenditest summas  1 286 330 eurot ja </w:t>
      </w:r>
      <w:r w:rsidRPr="000C53B1">
        <w:rPr>
          <w:rFonts w:ascii="Calibri" w:hAnsi="Calibri" w:cs="Calibri"/>
        </w:rPr>
        <w:t>toetu</w:t>
      </w:r>
      <w:r w:rsidR="00242C18">
        <w:rPr>
          <w:rFonts w:ascii="Calibri" w:hAnsi="Calibri" w:cs="Calibri"/>
        </w:rPr>
        <w:t>s</w:t>
      </w:r>
      <w:r w:rsidRPr="000C53B1">
        <w:rPr>
          <w:rFonts w:ascii="Calibri" w:hAnsi="Calibri" w:cs="Calibri"/>
        </w:rPr>
        <w:t xml:space="preserve"> riigieelarvest </w:t>
      </w:r>
      <w:r w:rsidR="00242C18">
        <w:rPr>
          <w:rFonts w:ascii="Calibri" w:hAnsi="Calibri" w:cs="Calibri"/>
        </w:rPr>
        <w:t>12</w:t>
      </w:r>
      <w:r w:rsidR="00DD07EA">
        <w:rPr>
          <w:rFonts w:ascii="Calibri" w:hAnsi="Calibri" w:cs="Calibri"/>
        </w:rPr>
        <w:t>2 213</w:t>
      </w:r>
      <w:r w:rsidR="00242C18">
        <w:rPr>
          <w:rFonts w:ascii="Calibri" w:hAnsi="Calibri" w:cs="Calibri"/>
        </w:rPr>
        <w:t xml:space="preserve"> </w:t>
      </w:r>
      <w:r w:rsidR="000C53B1">
        <w:rPr>
          <w:rFonts w:ascii="Calibri" w:hAnsi="Calibri" w:cs="Calibri"/>
        </w:rPr>
        <w:t>e</w:t>
      </w:r>
      <w:r w:rsidRPr="000C53B1">
        <w:rPr>
          <w:rFonts w:ascii="Calibri" w:hAnsi="Calibri" w:cs="Calibri"/>
        </w:rPr>
        <w:t>urot.</w:t>
      </w:r>
    </w:p>
    <w:p w14:paraId="297B87C1" w14:textId="77777777" w:rsidR="004948CC" w:rsidRDefault="004948CC" w:rsidP="007B19CD">
      <w:pPr>
        <w:jc w:val="both"/>
        <w:rPr>
          <w:rFonts w:ascii="Calibri" w:hAnsi="Calibri" w:cs="Calibri"/>
        </w:rPr>
      </w:pPr>
    </w:p>
    <w:p w14:paraId="685009F3" w14:textId="77777777" w:rsidR="003574D1" w:rsidRDefault="003574D1" w:rsidP="007B19CD">
      <w:pPr>
        <w:jc w:val="both"/>
        <w:rPr>
          <w:rFonts w:ascii="Calibri" w:hAnsi="Calibri" w:cs="Calibri"/>
        </w:rPr>
      </w:pPr>
    </w:p>
    <w:p w14:paraId="0342B647" w14:textId="77777777" w:rsidR="003574D1" w:rsidRDefault="003574D1" w:rsidP="007B19CD">
      <w:pPr>
        <w:jc w:val="both"/>
        <w:rPr>
          <w:rFonts w:ascii="Calibri" w:hAnsi="Calibri" w:cs="Calibri"/>
        </w:rPr>
      </w:pPr>
    </w:p>
    <w:p w14:paraId="032F2A43" w14:textId="77777777" w:rsidR="003574D1" w:rsidRDefault="003574D1" w:rsidP="007B19CD">
      <w:pPr>
        <w:jc w:val="both"/>
        <w:rPr>
          <w:rFonts w:ascii="Calibri" w:hAnsi="Calibri" w:cs="Calibri"/>
        </w:rPr>
      </w:pPr>
    </w:p>
    <w:p w14:paraId="7AA0A56F" w14:textId="77777777" w:rsidR="003574D1" w:rsidRDefault="003574D1" w:rsidP="007B19CD">
      <w:pPr>
        <w:jc w:val="both"/>
        <w:rPr>
          <w:rFonts w:ascii="Calibri" w:hAnsi="Calibri" w:cs="Calibri"/>
        </w:rPr>
      </w:pPr>
    </w:p>
    <w:p w14:paraId="55B5CCE1" w14:textId="77777777" w:rsidR="003574D1" w:rsidRPr="00706F0E" w:rsidRDefault="003574D1" w:rsidP="007B19CD">
      <w:pPr>
        <w:jc w:val="both"/>
        <w:rPr>
          <w:rFonts w:ascii="Calibri" w:hAnsi="Calibri" w:cs="Calibri"/>
        </w:rPr>
      </w:pPr>
    </w:p>
    <w:p w14:paraId="25560B17" w14:textId="649C3905" w:rsidR="004948CC" w:rsidRPr="00706F0E" w:rsidRDefault="00392CFD" w:rsidP="005919A3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Tabel 2 Põhitegevuse kulud tegevusvaldkondade lõikes 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2740"/>
        <w:gridCol w:w="1180"/>
        <w:gridCol w:w="1260"/>
        <w:gridCol w:w="1460"/>
        <w:gridCol w:w="1140"/>
        <w:gridCol w:w="960"/>
      </w:tblGrid>
      <w:tr w:rsidR="003574D1" w:rsidRPr="003574D1" w14:paraId="16A41420" w14:textId="77777777" w:rsidTr="003574D1">
        <w:trPr>
          <w:trHeight w:val="300"/>
        </w:trPr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1915B9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Tegevusvaldkond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633AC1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2023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täitmine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D1C67E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2024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täitmine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*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B8BB71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2025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eelarve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FBDEED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Muutus</w:t>
            </w:r>
            <w:proofErr w:type="spellEnd"/>
          </w:p>
        </w:tc>
      </w:tr>
      <w:tr w:rsidR="003574D1" w:rsidRPr="003574D1" w14:paraId="0FD57790" w14:textId="77777777" w:rsidTr="003574D1">
        <w:trPr>
          <w:trHeight w:val="270"/>
        </w:trPr>
        <w:tc>
          <w:tcPr>
            <w:tcW w:w="2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4C3ED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D2CB1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87B16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6CD57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9804DFB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eurot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A3C8C0C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%</w:t>
            </w:r>
          </w:p>
        </w:tc>
      </w:tr>
      <w:tr w:rsidR="003574D1" w:rsidRPr="003574D1" w14:paraId="2B6FAD83" w14:textId="77777777" w:rsidTr="003574D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8291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PÕHITEGEVUSE KULUD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B171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15 556 425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21CD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15 477 429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A8EF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16 301 560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D582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824 131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994B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5,3%</w:t>
            </w:r>
          </w:p>
        </w:tc>
      </w:tr>
      <w:tr w:rsidR="003574D1" w:rsidRPr="003574D1" w14:paraId="035DEAC1" w14:textId="77777777" w:rsidTr="003574D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3734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Üldised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valitsussektori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teenused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C411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839 729,74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BBE3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807 718,21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A2AC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1 067 230,00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6499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259 512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F954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32,1%</w:t>
            </w:r>
          </w:p>
        </w:tc>
      </w:tr>
      <w:tr w:rsidR="003574D1" w:rsidRPr="003574D1" w14:paraId="113624C1" w14:textId="77777777" w:rsidTr="003574D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B36C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Avalik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kord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ja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julgeolek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10C0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41 420,47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969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33 635,02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EBCE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39 770,00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5CC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6 135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A587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18,2%</w:t>
            </w:r>
          </w:p>
        </w:tc>
      </w:tr>
      <w:tr w:rsidR="003574D1" w:rsidRPr="003574D1" w14:paraId="1DDD8F92" w14:textId="77777777" w:rsidTr="003574D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CB7D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Majandus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7047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765 403,63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FC8E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702 573,95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A63B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718 120,00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23B0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15 546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F352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2,2%</w:t>
            </w:r>
          </w:p>
        </w:tc>
      </w:tr>
      <w:tr w:rsidR="003574D1" w:rsidRPr="003574D1" w14:paraId="47B19EB4" w14:textId="77777777" w:rsidTr="003574D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9467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Keskkonnakaitse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0E61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602 722,92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CB6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536 730,94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E40F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629 330,00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C0EE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92 599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E1E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17,3%</w:t>
            </w:r>
          </w:p>
        </w:tc>
      </w:tr>
      <w:tr w:rsidR="003574D1" w:rsidRPr="003574D1" w14:paraId="74D54870" w14:textId="77777777" w:rsidTr="003574D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3603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Elamu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-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ja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kommunaalmajandus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3AB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263 436,66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1E7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247 961,56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F90A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223 630,00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97FF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-24 332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07A7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-9,8%</w:t>
            </w:r>
          </w:p>
        </w:tc>
      </w:tr>
      <w:tr w:rsidR="003574D1" w:rsidRPr="003574D1" w14:paraId="36C38E5F" w14:textId="77777777" w:rsidTr="003574D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E86D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Tervishoid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5B43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3 984,00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5FD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5 146,00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7CED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18 220,00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448D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13 074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8E64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254,1%</w:t>
            </w:r>
          </w:p>
        </w:tc>
      </w:tr>
      <w:tr w:rsidR="003574D1" w:rsidRPr="003574D1" w14:paraId="5709DE24" w14:textId="77777777" w:rsidTr="003574D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9D5E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Vaba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aeg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,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kultuur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,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religioon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E43B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1 509 087,02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9768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1 492 569,71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0CE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1 584 990,00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F860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92 420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5709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6,2%</w:t>
            </w:r>
          </w:p>
        </w:tc>
      </w:tr>
      <w:tr w:rsidR="003574D1" w:rsidRPr="003574D1" w14:paraId="540BE7A7" w14:textId="77777777" w:rsidTr="003574D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FE2B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Haridus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9175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9 664 309,44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2D8A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9 879 015,48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E0AD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10 361 940,00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02A5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482 925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5DD1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4,9%</w:t>
            </w:r>
          </w:p>
        </w:tc>
      </w:tr>
      <w:tr w:rsidR="003574D1" w:rsidRPr="003574D1" w14:paraId="65BC87F0" w14:textId="77777777" w:rsidTr="003574D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CB81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Sotsiaalne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kaitse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0BE6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1 866 331,20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4FF1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1 772 078,08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C523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1 658 330,00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C1D5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-113 748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D45B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-6,4%</w:t>
            </w:r>
          </w:p>
        </w:tc>
      </w:tr>
      <w:tr w:rsidR="003574D1" w:rsidRPr="003574D1" w14:paraId="35130D3A" w14:textId="77777777" w:rsidTr="003574D1">
        <w:trPr>
          <w:trHeight w:val="25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FD13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* 2024.a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>reservfondist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>vahendeid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>ei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>kasutatud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7130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E327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2929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C325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</w:tbl>
    <w:p w14:paraId="4D945004" w14:textId="77777777" w:rsidR="000C53B1" w:rsidRDefault="000C53B1">
      <w:pPr>
        <w:rPr>
          <w:rFonts w:ascii="Calibri" w:hAnsi="Calibri" w:cs="Calibri"/>
        </w:rPr>
      </w:pPr>
    </w:p>
    <w:p w14:paraId="63467371" w14:textId="77777777" w:rsidR="008A2A26" w:rsidRDefault="008A2A26">
      <w:pPr>
        <w:rPr>
          <w:rFonts w:ascii="Calibri" w:hAnsi="Calibri" w:cs="Calibri"/>
        </w:rPr>
      </w:pPr>
    </w:p>
    <w:p w14:paraId="5513D767" w14:textId="2F080F79" w:rsidR="004948CC" w:rsidRPr="008A2A26" w:rsidRDefault="00392CFD">
      <w:pPr>
        <w:rPr>
          <w:rFonts w:ascii="Calibri" w:hAnsi="Calibri" w:cs="Calibri"/>
          <w:b/>
          <w:bCs/>
        </w:rPr>
      </w:pPr>
      <w:r w:rsidRPr="008A2A26">
        <w:rPr>
          <w:rFonts w:ascii="Calibri" w:hAnsi="Calibri" w:cs="Calibri"/>
          <w:b/>
          <w:bCs/>
        </w:rPr>
        <w:t>Investeerimistegevus</w:t>
      </w:r>
    </w:p>
    <w:p w14:paraId="3AA7C933" w14:textId="5EE26DB0" w:rsidR="00392CFD" w:rsidRPr="00706F0E" w:rsidRDefault="00392CFD">
      <w:pPr>
        <w:rPr>
          <w:rFonts w:ascii="Calibri" w:hAnsi="Calibri" w:cs="Calibri"/>
        </w:rPr>
      </w:pPr>
      <w:r w:rsidRPr="00706F0E">
        <w:rPr>
          <w:rFonts w:ascii="Calibri" w:hAnsi="Calibri" w:cs="Calibri"/>
        </w:rPr>
        <w:t>Investeerimistegevuse tulud on ühekordsed tulud vara müügist, investeerimiseks saadavatest toetustest ning intressituludest.</w:t>
      </w:r>
    </w:p>
    <w:p w14:paraId="4BA7855B" w14:textId="01E4F084" w:rsidR="00392CFD" w:rsidRDefault="00392CFD" w:rsidP="002C7595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</w:rPr>
        <w:t>Tabel 3. Investeerimistegevuse tulud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3380"/>
        <w:gridCol w:w="1180"/>
        <w:gridCol w:w="1140"/>
        <w:gridCol w:w="1240"/>
        <w:gridCol w:w="1140"/>
        <w:gridCol w:w="960"/>
      </w:tblGrid>
      <w:tr w:rsidR="003574D1" w:rsidRPr="003574D1" w14:paraId="50BFF498" w14:textId="77777777" w:rsidTr="003574D1">
        <w:trPr>
          <w:trHeight w:val="255"/>
        </w:trPr>
        <w:tc>
          <w:tcPr>
            <w:tcW w:w="3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8EE1CB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Tegevusvaldkond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7914B8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2023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täitmine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1CBDDF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2024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täitmine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ACE490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2025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eelarve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C925E7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Muutus</w:t>
            </w:r>
            <w:proofErr w:type="spellEnd"/>
          </w:p>
        </w:tc>
      </w:tr>
      <w:tr w:rsidR="003574D1" w:rsidRPr="003574D1" w14:paraId="031C04BF" w14:textId="77777777" w:rsidTr="003574D1">
        <w:trPr>
          <w:trHeight w:val="25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757B6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CE1EB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3D780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F2F55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1377D96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eurot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8D9B5B0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%</w:t>
            </w:r>
          </w:p>
        </w:tc>
      </w:tr>
      <w:tr w:rsidR="003574D1" w:rsidRPr="003574D1" w14:paraId="606CAFAC" w14:textId="77777777" w:rsidTr="003574D1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C4C3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INVESTEERIMISTEGEVUSE TULUD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6195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384 798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5B74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1 195 973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7889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835 000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024D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-360 973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1857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-30,2%</w:t>
            </w:r>
          </w:p>
        </w:tc>
      </w:tr>
      <w:tr w:rsidR="003574D1" w:rsidRPr="003574D1" w14:paraId="43FB10EE" w14:textId="77777777" w:rsidTr="003574D1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533E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Põhivara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müük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51BB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62 372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5576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341 444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8A99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100 000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FDCD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-241 444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2BC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-70,7%</w:t>
            </w:r>
          </w:p>
        </w:tc>
      </w:tr>
      <w:tr w:rsidR="003574D1" w:rsidRPr="003574D1" w14:paraId="6A43AFB8" w14:textId="77777777" w:rsidTr="003574D1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61DD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Põhivara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soetuseks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saadavad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toetused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283C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316 923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748A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844 710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BDCE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727 000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625A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-117 710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DA5B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-13,9%</w:t>
            </w:r>
          </w:p>
        </w:tc>
      </w:tr>
      <w:tr w:rsidR="003574D1" w:rsidRPr="003574D1" w14:paraId="7A6F3EA0" w14:textId="77777777" w:rsidTr="003574D1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1DCE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Finantstulud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3A41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5 503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C852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9 819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E39B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8 000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87C6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-1 819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A84B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-18,5%</w:t>
            </w:r>
          </w:p>
        </w:tc>
      </w:tr>
    </w:tbl>
    <w:p w14:paraId="5CD20CF3" w14:textId="77777777" w:rsidR="00090159" w:rsidRDefault="00090159">
      <w:pPr>
        <w:rPr>
          <w:rFonts w:ascii="Calibri" w:hAnsi="Calibri" w:cs="Calibri"/>
        </w:rPr>
      </w:pPr>
    </w:p>
    <w:p w14:paraId="501F02E9" w14:textId="77777777" w:rsidR="003574D1" w:rsidRDefault="003574D1">
      <w:pPr>
        <w:rPr>
          <w:rFonts w:ascii="Calibri" w:hAnsi="Calibri" w:cs="Calibri"/>
        </w:rPr>
      </w:pPr>
    </w:p>
    <w:p w14:paraId="5FBFD18F" w14:textId="08AA8E3E" w:rsidR="003574D1" w:rsidRDefault="003574D1" w:rsidP="003574D1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Tabel </w:t>
      </w:r>
      <w:r>
        <w:rPr>
          <w:rFonts w:ascii="Calibri" w:hAnsi="Calibri" w:cs="Calibri"/>
        </w:rPr>
        <w:t>4</w:t>
      </w:r>
      <w:r w:rsidRPr="00706F0E">
        <w:rPr>
          <w:rFonts w:ascii="Calibri" w:hAnsi="Calibri" w:cs="Calibri"/>
        </w:rPr>
        <w:t xml:space="preserve">. Investeerimistegevuse </w:t>
      </w:r>
      <w:r>
        <w:rPr>
          <w:rFonts w:ascii="Calibri" w:hAnsi="Calibri" w:cs="Calibri"/>
        </w:rPr>
        <w:t>k</w:t>
      </w:r>
      <w:r w:rsidRPr="00706F0E">
        <w:rPr>
          <w:rFonts w:ascii="Calibri" w:hAnsi="Calibri" w:cs="Calibri"/>
        </w:rPr>
        <w:t>ulud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3380"/>
        <w:gridCol w:w="1180"/>
        <w:gridCol w:w="1140"/>
        <w:gridCol w:w="1240"/>
        <w:gridCol w:w="1140"/>
        <w:gridCol w:w="960"/>
      </w:tblGrid>
      <w:tr w:rsidR="003574D1" w:rsidRPr="003574D1" w14:paraId="14F6E807" w14:textId="77777777" w:rsidTr="003574D1">
        <w:trPr>
          <w:trHeight w:val="255"/>
        </w:trPr>
        <w:tc>
          <w:tcPr>
            <w:tcW w:w="3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FF7FFE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Tegevusvaldkond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DE1A3A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2023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täitmine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A0EC93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2024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täitmine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A0A482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2025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eelarve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D3F8A7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Muutus</w:t>
            </w:r>
            <w:proofErr w:type="spellEnd"/>
          </w:p>
        </w:tc>
      </w:tr>
      <w:tr w:rsidR="003574D1" w:rsidRPr="003574D1" w14:paraId="5A6FD2BA" w14:textId="77777777" w:rsidTr="003574D1">
        <w:trPr>
          <w:trHeight w:val="25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00159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0A4FF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6B988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869A6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6F9FDF0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eurot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F8FCB1C" w14:textId="77777777" w:rsidR="003574D1" w:rsidRPr="003574D1" w:rsidRDefault="003574D1" w:rsidP="0035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%</w:t>
            </w:r>
          </w:p>
        </w:tc>
      </w:tr>
      <w:tr w:rsidR="003574D1" w:rsidRPr="003574D1" w14:paraId="749054BB" w14:textId="77777777" w:rsidTr="003574D1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672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INVESTEERIMISTEGEVUSE KULUD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C3F8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2 197 299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CF8B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2 624 583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E827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2 005 000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0626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-619 583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9B73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-23,6%</w:t>
            </w:r>
          </w:p>
        </w:tc>
      </w:tr>
      <w:tr w:rsidR="003574D1" w:rsidRPr="003574D1" w14:paraId="7DA6827A" w14:textId="77777777" w:rsidTr="003574D1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6E7C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Põhivara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8242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1 728 307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F772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2 032 781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7F3E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1 427 000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5B84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-605 781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C9AB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-29,8%</w:t>
            </w:r>
          </w:p>
        </w:tc>
      </w:tr>
      <w:tr w:rsidR="003574D1" w:rsidRPr="003574D1" w14:paraId="01AE5B67" w14:textId="77777777" w:rsidTr="003574D1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8EF5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Antud</w:t>
            </w:r>
            <w:proofErr w:type="spellEnd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toetused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AF6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34 172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FE2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65 264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C3A3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175 000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2971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109 736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BD19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168,1%</w:t>
            </w:r>
          </w:p>
        </w:tc>
      </w:tr>
      <w:tr w:rsidR="003574D1" w:rsidRPr="003574D1" w14:paraId="294759E7" w14:textId="77777777" w:rsidTr="003574D1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2070" w14:textId="77777777" w:rsidR="003574D1" w:rsidRPr="003574D1" w:rsidRDefault="003574D1" w:rsidP="003574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Finantskulud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2E00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434 820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8127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526 538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9620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403 000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251E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-123 538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9B0F" w14:textId="77777777" w:rsidR="003574D1" w:rsidRPr="003574D1" w:rsidRDefault="003574D1" w:rsidP="0035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3574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-23,5%</w:t>
            </w:r>
          </w:p>
        </w:tc>
      </w:tr>
    </w:tbl>
    <w:p w14:paraId="3E89AB6E" w14:textId="77777777" w:rsidR="003574D1" w:rsidRPr="00706F0E" w:rsidRDefault="003574D1">
      <w:pPr>
        <w:rPr>
          <w:rFonts w:ascii="Calibri" w:hAnsi="Calibri" w:cs="Calibri"/>
        </w:rPr>
      </w:pPr>
    </w:p>
    <w:p w14:paraId="0C06F1A8" w14:textId="1DE83F79" w:rsidR="00392CFD" w:rsidRDefault="00392CFD" w:rsidP="001A4F67">
      <w:p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>Investeerimistegevuse kulud on ühekordsed kulud: põhivara soetus (</w:t>
      </w:r>
      <w:r w:rsidR="003574D1">
        <w:rPr>
          <w:rFonts w:ascii="Calibri" w:hAnsi="Calibri" w:cs="Calibri"/>
        </w:rPr>
        <w:t>1,4</w:t>
      </w:r>
      <w:r w:rsidR="00FE7A7C">
        <w:rPr>
          <w:rFonts w:ascii="Calibri" w:hAnsi="Calibri" w:cs="Calibri"/>
        </w:rPr>
        <w:t xml:space="preserve"> </w:t>
      </w:r>
      <w:r w:rsidRPr="00706F0E">
        <w:rPr>
          <w:rFonts w:ascii="Calibri" w:hAnsi="Calibri" w:cs="Calibri"/>
        </w:rPr>
        <w:t>miljonit eurot), põhivara soetuseks antav toetus (</w:t>
      </w:r>
      <w:r w:rsidR="00FE7A7C">
        <w:rPr>
          <w:rFonts w:ascii="Calibri" w:hAnsi="Calibri" w:cs="Calibri"/>
        </w:rPr>
        <w:t>0,</w:t>
      </w:r>
      <w:r w:rsidR="003574D1">
        <w:rPr>
          <w:rFonts w:ascii="Calibri" w:hAnsi="Calibri" w:cs="Calibri"/>
        </w:rPr>
        <w:t>2</w:t>
      </w:r>
      <w:r w:rsidRPr="00706F0E">
        <w:rPr>
          <w:rFonts w:ascii="Calibri" w:hAnsi="Calibri" w:cs="Calibri"/>
        </w:rPr>
        <w:t xml:space="preserve"> miljonit eurot) ja finantskulud (eelkõige laenukohustiste intressid </w:t>
      </w:r>
      <w:r w:rsidR="00FE7A7C">
        <w:rPr>
          <w:rFonts w:ascii="Calibri" w:hAnsi="Calibri" w:cs="Calibri"/>
        </w:rPr>
        <w:t>0,</w:t>
      </w:r>
      <w:r w:rsidR="005A1D02">
        <w:rPr>
          <w:rFonts w:ascii="Calibri" w:hAnsi="Calibri" w:cs="Calibri"/>
        </w:rPr>
        <w:t>4</w:t>
      </w:r>
      <w:r w:rsidR="00FE7A7C">
        <w:rPr>
          <w:rFonts w:ascii="Calibri" w:hAnsi="Calibri" w:cs="Calibri"/>
        </w:rPr>
        <w:t xml:space="preserve"> </w:t>
      </w:r>
      <w:r w:rsidRPr="00706F0E">
        <w:rPr>
          <w:rFonts w:ascii="Calibri" w:hAnsi="Calibri" w:cs="Calibri"/>
        </w:rPr>
        <w:t xml:space="preserve">miljonit eurot). Investeerimistegevuse kulud </w:t>
      </w:r>
      <w:r w:rsidR="005A1D02">
        <w:rPr>
          <w:rFonts w:ascii="Calibri" w:hAnsi="Calibri" w:cs="Calibri"/>
        </w:rPr>
        <w:t>2</w:t>
      </w:r>
      <w:r w:rsidR="00FE7A7C">
        <w:rPr>
          <w:rFonts w:ascii="Calibri" w:hAnsi="Calibri" w:cs="Calibri"/>
        </w:rPr>
        <w:t xml:space="preserve"> </w:t>
      </w:r>
      <w:r w:rsidRPr="00706F0E">
        <w:rPr>
          <w:rFonts w:ascii="Calibri" w:hAnsi="Calibri" w:cs="Calibri"/>
        </w:rPr>
        <w:t xml:space="preserve">miljonit eurot on </w:t>
      </w:r>
      <w:r w:rsidR="00FE7A7C">
        <w:rPr>
          <w:rFonts w:ascii="Calibri" w:hAnsi="Calibri" w:cs="Calibri"/>
        </w:rPr>
        <w:t>0,</w:t>
      </w:r>
      <w:r w:rsidR="005A1D02">
        <w:rPr>
          <w:rFonts w:ascii="Calibri" w:hAnsi="Calibri" w:cs="Calibri"/>
        </w:rPr>
        <w:t>6</w:t>
      </w:r>
      <w:r w:rsidR="00FE7A7C">
        <w:rPr>
          <w:rFonts w:ascii="Calibri" w:hAnsi="Calibri" w:cs="Calibri"/>
        </w:rPr>
        <w:t xml:space="preserve"> miljonit </w:t>
      </w:r>
      <w:r w:rsidRPr="00706F0E">
        <w:rPr>
          <w:rFonts w:ascii="Calibri" w:hAnsi="Calibri" w:cs="Calibri"/>
        </w:rPr>
        <w:t xml:space="preserve">eurot ehk </w:t>
      </w:r>
      <w:r w:rsidR="00FE7A7C">
        <w:rPr>
          <w:rFonts w:ascii="Calibri" w:hAnsi="Calibri" w:cs="Calibri"/>
        </w:rPr>
        <w:t xml:space="preserve"> </w:t>
      </w:r>
      <w:r w:rsidR="005A1D02">
        <w:rPr>
          <w:rFonts w:ascii="Calibri" w:hAnsi="Calibri" w:cs="Calibri"/>
        </w:rPr>
        <w:t>23,6</w:t>
      </w:r>
      <w:r w:rsidRPr="00706F0E">
        <w:rPr>
          <w:rFonts w:ascii="Calibri" w:hAnsi="Calibri" w:cs="Calibri"/>
        </w:rPr>
        <w:t xml:space="preserve">% </w:t>
      </w:r>
      <w:r w:rsidR="005A1D02">
        <w:rPr>
          <w:rFonts w:ascii="Calibri" w:hAnsi="Calibri" w:cs="Calibri"/>
        </w:rPr>
        <w:t>väiksemad</w:t>
      </w:r>
      <w:r w:rsidRPr="00706F0E">
        <w:rPr>
          <w:rFonts w:ascii="Calibri" w:hAnsi="Calibri" w:cs="Calibri"/>
        </w:rPr>
        <w:t xml:space="preserve"> kui 202</w:t>
      </w:r>
      <w:r w:rsidR="005A1D02">
        <w:rPr>
          <w:rFonts w:ascii="Calibri" w:hAnsi="Calibri" w:cs="Calibri"/>
        </w:rPr>
        <w:t>4</w:t>
      </w:r>
      <w:r w:rsidRPr="00706F0E">
        <w:rPr>
          <w:rFonts w:ascii="Calibri" w:hAnsi="Calibri" w:cs="Calibri"/>
        </w:rPr>
        <w:t>. aasta  eelarve</w:t>
      </w:r>
      <w:r w:rsidR="00FE7A7C">
        <w:rPr>
          <w:rFonts w:ascii="Calibri" w:hAnsi="Calibri" w:cs="Calibri"/>
        </w:rPr>
        <w:t xml:space="preserve"> täitmise</w:t>
      </w:r>
      <w:r w:rsidR="005A1D02">
        <w:rPr>
          <w:rFonts w:ascii="Calibri" w:hAnsi="Calibri" w:cs="Calibri"/>
        </w:rPr>
        <w:t>s</w:t>
      </w:r>
      <w:r w:rsidRPr="00706F0E">
        <w:rPr>
          <w:rFonts w:ascii="Calibri" w:hAnsi="Calibri" w:cs="Calibri"/>
        </w:rPr>
        <w:t xml:space="preserve">. Suurem investeering tehakse </w:t>
      </w:r>
      <w:r w:rsidR="005A1D02">
        <w:rPr>
          <w:rFonts w:ascii="Calibri" w:hAnsi="Calibri" w:cs="Calibri"/>
        </w:rPr>
        <w:t>Kohila alevis perepargi rajamiseks</w:t>
      </w:r>
      <w:r w:rsidR="001A4F67">
        <w:rPr>
          <w:rFonts w:ascii="Calibri" w:hAnsi="Calibri" w:cs="Calibri"/>
        </w:rPr>
        <w:t>.</w:t>
      </w:r>
      <w:r w:rsidRPr="00706F0E">
        <w:rPr>
          <w:rFonts w:ascii="Calibri" w:hAnsi="Calibri" w:cs="Calibri"/>
        </w:rPr>
        <w:t xml:space="preserve"> Vald panustab jätkuvalt aktiivselt kohalike teede korrashoidu ja arendusse.</w:t>
      </w:r>
    </w:p>
    <w:p w14:paraId="66772133" w14:textId="77777777" w:rsidR="00875C64" w:rsidRDefault="00875C64">
      <w:pPr>
        <w:rPr>
          <w:rFonts w:ascii="Calibri" w:hAnsi="Calibri" w:cs="Calibri"/>
        </w:rPr>
      </w:pPr>
    </w:p>
    <w:p w14:paraId="0511F533" w14:textId="77777777" w:rsidR="00875C64" w:rsidRDefault="00875C64">
      <w:pPr>
        <w:rPr>
          <w:rFonts w:ascii="Calibri" w:hAnsi="Calibri" w:cs="Calibri"/>
        </w:rPr>
      </w:pPr>
    </w:p>
    <w:p w14:paraId="7ED1A025" w14:textId="77777777" w:rsidR="00875C64" w:rsidRPr="00706F0E" w:rsidRDefault="00875C64">
      <w:pPr>
        <w:rPr>
          <w:rFonts w:ascii="Calibri" w:hAnsi="Calibri" w:cs="Calibri"/>
        </w:rPr>
      </w:pPr>
    </w:p>
    <w:p w14:paraId="766D0997" w14:textId="3FA11E97" w:rsidR="00392CFD" w:rsidRDefault="00392CFD" w:rsidP="000A0083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Tabel </w:t>
      </w:r>
      <w:r w:rsidR="005A1D02">
        <w:rPr>
          <w:rFonts w:ascii="Calibri" w:hAnsi="Calibri" w:cs="Calibri"/>
        </w:rPr>
        <w:t>5</w:t>
      </w:r>
      <w:r w:rsidRPr="00706F0E">
        <w:rPr>
          <w:rFonts w:ascii="Calibri" w:hAnsi="Calibri" w:cs="Calibri"/>
        </w:rPr>
        <w:t>. Investeeringute kulud tegevusalade kaupa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3380"/>
        <w:gridCol w:w="1180"/>
        <w:gridCol w:w="1140"/>
        <w:gridCol w:w="1240"/>
        <w:gridCol w:w="1140"/>
        <w:gridCol w:w="960"/>
      </w:tblGrid>
      <w:tr w:rsidR="005A1D02" w:rsidRPr="005A1D02" w14:paraId="00811F64" w14:textId="77777777" w:rsidTr="005A1D02">
        <w:trPr>
          <w:trHeight w:val="270"/>
        </w:trPr>
        <w:tc>
          <w:tcPr>
            <w:tcW w:w="3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479469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Tegevusvaldkond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152C20" w14:textId="77777777" w:rsidR="005A1D02" w:rsidRPr="005A1D02" w:rsidRDefault="005A1D02" w:rsidP="005A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2023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täitmine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4AB95E" w14:textId="77777777" w:rsidR="005A1D02" w:rsidRPr="005A1D02" w:rsidRDefault="005A1D02" w:rsidP="005A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2024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täitmine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*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B61ACC" w14:textId="77777777" w:rsidR="005A1D02" w:rsidRPr="005A1D02" w:rsidRDefault="005A1D02" w:rsidP="005A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2025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aasta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 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eelarve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2EE12B" w14:textId="77777777" w:rsidR="005A1D02" w:rsidRPr="005A1D02" w:rsidRDefault="005A1D02" w:rsidP="005A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Muutus</w:t>
            </w:r>
            <w:proofErr w:type="spellEnd"/>
          </w:p>
        </w:tc>
      </w:tr>
      <w:tr w:rsidR="005A1D02" w:rsidRPr="005A1D02" w14:paraId="0B019ABE" w14:textId="77777777" w:rsidTr="005A1D02">
        <w:trPr>
          <w:trHeight w:val="285"/>
        </w:trPr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E010A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AC1EF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EE962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C1C4F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476D605" w14:textId="77777777" w:rsidR="005A1D02" w:rsidRPr="005A1D02" w:rsidRDefault="005A1D02" w:rsidP="005A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eurot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DFD570E" w14:textId="77777777" w:rsidR="005A1D02" w:rsidRPr="005A1D02" w:rsidRDefault="005A1D02" w:rsidP="005A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%</w:t>
            </w:r>
          </w:p>
        </w:tc>
      </w:tr>
      <w:tr w:rsidR="005A1D02" w:rsidRPr="005A1D02" w14:paraId="4AD576B3" w14:textId="77777777" w:rsidTr="005A1D02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8A7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INVESTEERIMISTEGEVUSE KULUD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B042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2 197 300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BBE8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2 624 582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644A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2 005 000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66B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-619 582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CECD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en-GB"/>
                <w14:ligatures w14:val="none"/>
              </w:rPr>
              <w:t>-23,6%</w:t>
            </w:r>
          </w:p>
        </w:tc>
      </w:tr>
      <w:tr w:rsidR="005A1D02" w:rsidRPr="005A1D02" w14:paraId="2304F493" w14:textId="77777777" w:rsidTr="005A1D02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7DE7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Üldised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valitsussektori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teenused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EEB2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455 100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EC2B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526 300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0EBA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403 000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DEFE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-123 300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A5EB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-23,4%</w:t>
            </w:r>
          </w:p>
        </w:tc>
      </w:tr>
      <w:tr w:rsidR="005A1D02" w:rsidRPr="005A1D02" w14:paraId="172C5F98" w14:textId="77777777" w:rsidTr="005A1D02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7AD4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Majandus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DF2C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1 308 513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71C0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981 685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9A0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455 000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181A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-526 685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635A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-53,7%</w:t>
            </w:r>
          </w:p>
        </w:tc>
      </w:tr>
      <w:tr w:rsidR="005A1D02" w:rsidRPr="005A1D02" w14:paraId="4BC19B43" w14:textId="77777777" w:rsidTr="005A1D02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1347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Keskkonnakaitse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218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21 689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4824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52 179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7A79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50 000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5549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-2 179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CFD9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-4,2%</w:t>
            </w:r>
          </w:p>
        </w:tc>
      </w:tr>
      <w:tr w:rsidR="005A1D02" w:rsidRPr="005A1D02" w14:paraId="369BAAAC" w14:textId="77777777" w:rsidTr="005A1D02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349A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Elamu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-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ja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kommunaalmajandus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DAEC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72 607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8DEA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18 339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1F5A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25 000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9544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6 661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15D1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36,3%</w:t>
            </w:r>
          </w:p>
        </w:tc>
      </w:tr>
      <w:tr w:rsidR="005A1D02" w:rsidRPr="005A1D02" w14:paraId="460EFD58" w14:textId="77777777" w:rsidTr="005A1D02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67B9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Vaba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aeg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,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kultuur</w:t>
            </w:r>
            <w:proofErr w:type="spellEnd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,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religioon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D283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162 448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CF2C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142 707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8DD1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1 072 000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8C08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929 293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C12E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651,2%</w:t>
            </w:r>
          </w:p>
        </w:tc>
      </w:tr>
      <w:tr w:rsidR="005A1D02" w:rsidRPr="005A1D02" w14:paraId="4706574B" w14:textId="77777777" w:rsidTr="005A1D02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E792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Haridus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9446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176 943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F8CE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903 372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B33A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A158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-903 372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8EAD" w14:textId="77777777" w:rsidR="005A1D02" w:rsidRPr="005A1D02" w:rsidRDefault="005A1D02" w:rsidP="005A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en-GB"/>
                <w14:ligatures w14:val="none"/>
              </w:rPr>
              <w:t>-100,0%</w:t>
            </w:r>
          </w:p>
        </w:tc>
      </w:tr>
      <w:tr w:rsidR="005A1D02" w:rsidRPr="005A1D02" w14:paraId="0FA77562" w14:textId="77777777" w:rsidTr="005A1D02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6EB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5A1D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>*</w:t>
            </w:r>
            <w:proofErr w:type="spellStart"/>
            <w:proofErr w:type="gramStart"/>
            <w:r w:rsidRPr="005A1D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>sh</w:t>
            </w:r>
            <w:proofErr w:type="spellEnd"/>
            <w:proofErr w:type="gramEnd"/>
            <w:r w:rsidRPr="005A1D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</w:t>
            </w:r>
            <w:proofErr w:type="spellStart"/>
            <w:r w:rsidRPr="005A1D0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  <w:t>Finantskulud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7AEF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FC70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37D1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2AE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0A51" w14:textId="77777777" w:rsidR="005A1D02" w:rsidRPr="005A1D02" w:rsidRDefault="005A1D02" w:rsidP="005A1D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</w:tbl>
    <w:p w14:paraId="14EEF4AB" w14:textId="77777777" w:rsidR="005A1D02" w:rsidRDefault="005A1D02" w:rsidP="00090159">
      <w:pPr>
        <w:spacing w:after="0"/>
        <w:rPr>
          <w:rFonts w:ascii="Calibri" w:hAnsi="Calibri" w:cs="Calibri"/>
        </w:rPr>
      </w:pPr>
    </w:p>
    <w:p w14:paraId="0CE188BE" w14:textId="77777777" w:rsidR="005A1D02" w:rsidRPr="00706F0E" w:rsidRDefault="005A1D02" w:rsidP="00090159">
      <w:pPr>
        <w:spacing w:after="0"/>
        <w:rPr>
          <w:rFonts w:ascii="Calibri" w:hAnsi="Calibri" w:cs="Calibri"/>
        </w:rPr>
      </w:pPr>
    </w:p>
    <w:p w14:paraId="694EC734" w14:textId="4B89B532" w:rsidR="00090159" w:rsidRPr="008A2A26" w:rsidRDefault="005A33C0" w:rsidP="00090159">
      <w:pPr>
        <w:spacing w:after="0"/>
        <w:rPr>
          <w:rFonts w:ascii="Calibri" w:hAnsi="Calibri" w:cs="Calibri"/>
          <w:b/>
          <w:bCs/>
        </w:rPr>
      </w:pPr>
      <w:r w:rsidRPr="008A2A26">
        <w:rPr>
          <w:rFonts w:ascii="Calibri" w:hAnsi="Calibri" w:cs="Calibri"/>
          <w:b/>
          <w:bCs/>
        </w:rPr>
        <w:t>Suuremad investeerimisobjektid 202</w:t>
      </w:r>
      <w:r w:rsidR="005A1D02">
        <w:rPr>
          <w:rFonts w:ascii="Calibri" w:hAnsi="Calibri" w:cs="Calibri"/>
          <w:b/>
          <w:bCs/>
        </w:rPr>
        <w:t>5</w:t>
      </w:r>
      <w:r w:rsidRPr="008A2A26">
        <w:rPr>
          <w:rFonts w:ascii="Calibri" w:hAnsi="Calibri" w:cs="Calibri"/>
          <w:b/>
          <w:bCs/>
        </w:rPr>
        <w:t>.aastal.</w:t>
      </w:r>
    </w:p>
    <w:p w14:paraId="3765A793" w14:textId="733962B7" w:rsidR="00090159" w:rsidRDefault="005A1D02" w:rsidP="00090159">
      <w:pPr>
        <w:spacing w:after="0"/>
        <w:rPr>
          <w:rFonts w:ascii="Calibri" w:hAnsi="Calibri" w:cs="Calibri"/>
        </w:rPr>
      </w:pPr>
      <w:r w:rsidRPr="005A1D02">
        <w:rPr>
          <w:rFonts w:ascii="Calibri" w:hAnsi="Calibri" w:cs="Calibri"/>
        </w:rPr>
        <w:t>Kohila alevis perepargi rajamine</w:t>
      </w:r>
      <w:r w:rsidR="00090159">
        <w:rPr>
          <w:rFonts w:ascii="Calibri" w:hAnsi="Calibri" w:cs="Calibri"/>
        </w:rPr>
        <w:tab/>
      </w:r>
      <w:r>
        <w:rPr>
          <w:rFonts w:ascii="Calibri" w:hAnsi="Calibri" w:cs="Calibri"/>
        </w:rPr>
        <w:t>900</w:t>
      </w:r>
      <w:r w:rsidR="00090159">
        <w:rPr>
          <w:rFonts w:ascii="Calibri" w:hAnsi="Calibri" w:cs="Calibri"/>
        </w:rPr>
        <w:t> 000 eurot</w:t>
      </w:r>
    </w:p>
    <w:p w14:paraId="364AD50D" w14:textId="5264C500" w:rsidR="00090159" w:rsidRDefault="00271873" w:rsidP="000901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Teed ja tänavad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90159">
        <w:rPr>
          <w:rFonts w:ascii="Calibri" w:hAnsi="Calibri" w:cs="Calibri"/>
        </w:rPr>
        <w:tab/>
      </w:r>
      <w:r>
        <w:rPr>
          <w:rFonts w:ascii="Calibri" w:hAnsi="Calibri" w:cs="Calibri"/>
        </w:rPr>
        <w:t>33</w:t>
      </w:r>
      <w:r w:rsidR="00090159">
        <w:rPr>
          <w:rFonts w:ascii="Calibri" w:hAnsi="Calibri" w:cs="Calibri"/>
        </w:rPr>
        <w:t>0 000 eurot</w:t>
      </w:r>
    </w:p>
    <w:p w14:paraId="10E6E357" w14:textId="2B6C2CEE" w:rsidR="00090159" w:rsidRPr="00706F0E" w:rsidRDefault="000A0083" w:rsidP="00090159">
      <w:pPr>
        <w:spacing w:after="0"/>
        <w:rPr>
          <w:rFonts w:ascii="Calibri" w:hAnsi="Calibri" w:cs="Calibri"/>
        </w:rPr>
      </w:pPr>
      <w:r w:rsidRPr="000A0083">
        <w:rPr>
          <w:rFonts w:ascii="Calibri" w:hAnsi="Calibri" w:cs="Calibri"/>
        </w:rPr>
        <w:t>Kohila Tegevus- ja teraapiakeskus</w:t>
      </w:r>
      <w:r w:rsidR="002718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271873">
        <w:rPr>
          <w:rFonts w:ascii="Calibri" w:hAnsi="Calibri" w:cs="Calibri"/>
        </w:rPr>
        <w:t>125</w:t>
      </w:r>
      <w:r>
        <w:rPr>
          <w:rFonts w:ascii="Calibri" w:hAnsi="Calibri" w:cs="Calibri"/>
        </w:rPr>
        <w:t> 000 eurot</w:t>
      </w:r>
    </w:p>
    <w:p w14:paraId="2161989D" w14:textId="6EB6B121" w:rsidR="000A0083" w:rsidRDefault="00271873" w:rsidP="000901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Angerja linnuse konserveerimine</w:t>
      </w:r>
      <w:r>
        <w:rPr>
          <w:rFonts w:ascii="Calibri" w:hAnsi="Calibri" w:cs="Calibri"/>
        </w:rPr>
        <w:tab/>
        <w:t xml:space="preserve">  97 000 eurot</w:t>
      </w:r>
    </w:p>
    <w:p w14:paraId="7DDD001E" w14:textId="77777777" w:rsidR="008A2A26" w:rsidRDefault="008A2A26" w:rsidP="00090159">
      <w:pPr>
        <w:spacing w:after="0"/>
        <w:rPr>
          <w:rFonts w:ascii="Calibri" w:hAnsi="Calibri" w:cs="Calibri"/>
        </w:rPr>
      </w:pPr>
    </w:p>
    <w:p w14:paraId="7441D38C" w14:textId="77777777" w:rsidR="00271873" w:rsidRPr="00706F0E" w:rsidRDefault="00271873" w:rsidP="00090159">
      <w:pPr>
        <w:spacing w:after="0"/>
        <w:rPr>
          <w:rFonts w:ascii="Calibri" w:hAnsi="Calibri" w:cs="Calibri"/>
        </w:rPr>
      </w:pPr>
    </w:p>
    <w:p w14:paraId="19CFBC2B" w14:textId="1FC43D81" w:rsidR="005A33C0" w:rsidRPr="008A2A26" w:rsidRDefault="005A33C0">
      <w:pPr>
        <w:rPr>
          <w:rFonts w:ascii="Calibri" w:hAnsi="Calibri" w:cs="Calibri"/>
          <w:b/>
          <w:bCs/>
        </w:rPr>
      </w:pPr>
      <w:r w:rsidRPr="008A2A26">
        <w:rPr>
          <w:rFonts w:ascii="Calibri" w:hAnsi="Calibri" w:cs="Calibri"/>
          <w:b/>
          <w:bCs/>
        </w:rPr>
        <w:t>Finantsseis</w:t>
      </w:r>
    </w:p>
    <w:p w14:paraId="7A383B54" w14:textId="5752C514" w:rsidR="008A2A26" w:rsidRDefault="005A33C0" w:rsidP="008A2A26">
      <w:pPr>
        <w:spacing w:after="0"/>
        <w:rPr>
          <w:rFonts w:ascii="Calibri" w:hAnsi="Calibri" w:cs="Calibri"/>
        </w:rPr>
      </w:pPr>
      <w:r w:rsidRPr="008A2A26">
        <w:rPr>
          <w:rFonts w:ascii="Calibri" w:hAnsi="Calibri" w:cs="Calibri"/>
          <w:b/>
          <w:bCs/>
        </w:rPr>
        <w:t>Põhitegevuse tulem</w:t>
      </w:r>
      <w:r w:rsidRPr="008A2A26">
        <w:rPr>
          <w:rFonts w:ascii="Calibri" w:hAnsi="Calibri" w:cs="Calibri"/>
        </w:rPr>
        <w:t xml:space="preserve"> o</w:t>
      </w:r>
      <w:r w:rsidRPr="00706F0E">
        <w:rPr>
          <w:rFonts w:ascii="Calibri" w:hAnsi="Calibri" w:cs="Calibri"/>
        </w:rPr>
        <w:t xml:space="preserve">n </w:t>
      </w:r>
      <w:r w:rsidR="00F83879">
        <w:rPr>
          <w:rFonts w:ascii="Calibri" w:hAnsi="Calibri" w:cs="Calibri"/>
        </w:rPr>
        <w:t>1,</w:t>
      </w:r>
      <w:r w:rsidR="00271873">
        <w:rPr>
          <w:rFonts w:ascii="Calibri" w:hAnsi="Calibri" w:cs="Calibri"/>
        </w:rPr>
        <w:t xml:space="preserve">2 </w:t>
      </w:r>
      <w:r w:rsidRPr="00706F0E">
        <w:rPr>
          <w:rFonts w:ascii="Calibri" w:hAnsi="Calibri" w:cs="Calibri"/>
        </w:rPr>
        <w:t>miljonit eurot. See suunatakse laenukohustuste täitmiseks.  Eesmärk on tulemit oluliselt suurendada investeerimisvõimekuse parandamiseks ning laenukohustuste kasvu pidurdamiseks.</w:t>
      </w:r>
    </w:p>
    <w:p w14:paraId="7C89FCD0" w14:textId="7CF9DB44" w:rsidR="005A33C0" w:rsidRPr="00706F0E" w:rsidRDefault="005A33C0" w:rsidP="008A2A26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  <w:b/>
          <w:bCs/>
        </w:rPr>
        <w:t>Eelarve tulem</w:t>
      </w:r>
      <w:r w:rsidRPr="00706F0E">
        <w:rPr>
          <w:rFonts w:ascii="Calibri" w:hAnsi="Calibri" w:cs="Calibri"/>
        </w:rPr>
        <w:t xml:space="preserve"> on </w:t>
      </w:r>
      <w:r w:rsidR="00F83879">
        <w:rPr>
          <w:rFonts w:ascii="Calibri" w:hAnsi="Calibri" w:cs="Calibri"/>
        </w:rPr>
        <w:t>0,</w:t>
      </w:r>
      <w:r w:rsidR="00271873">
        <w:rPr>
          <w:rFonts w:ascii="Calibri" w:hAnsi="Calibri" w:cs="Calibri"/>
        </w:rPr>
        <w:t>02</w:t>
      </w:r>
      <w:r w:rsidR="00F83879">
        <w:rPr>
          <w:rFonts w:ascii="Calibri" w:hAnsi="Calibri" w:cs="Calibri"/>
        </w:rPr>
        <w:t xml:space="preserve"> m</w:t>
      </w:r>
      <w:r w:rsidRPr="00706F0E">
        <w:rPr>
          <w:rFonts w:ascii="Calibri" w:hAnsi="Calibri" w:cs="Calibri"/>
        </w:rPr>
        <w:t xml:space="preserve">iljonit eurot. </w:t>
      </w:r>
    </w:p>
    <w:p w14:paraId="75F6B425" w14:textId="1E5D15C6" w:rsidR="005A33C0" w:rsidRPr="00706F0E" w:rsidRDefault="005A33C0" w:rsidP="008A2A26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  <w:b/>
          <w:bCs/>
        </w:rPr>
        <w:t>Netovõlakoormus</w:t>
      </w:r>
      <w:r w:rsidRPr="00706F0E">
        <w:rPr>
          <w:rFonts w:ascii="Calibri" w:hAnsi="Calibri" w:cs="Calibri"/>
        </w:rPr>
        <w:t xml:space="preserve"> suureneb 6</w:t>
      </w:r>
      <w:r w:rsidR="00271873">
        <w:rPr>
          <w:rFonts w:ascii="Calibri" w:hAnsi="Calibri" w:cs="Calibri"/>
        </w:rPr>
        <w:t>0,9</w:t>
      </w:r>
      <w:r w:rsidRPr="00706F0E">
        <w:rPr>
          <w:rFonts w:ascii="Calibri" w:hAnsi="Calibri" w:cs="Calibri"/>
        </w:rPr>
        <w:t xml:space="preserve">%-le põhitegevuse tuludest ehk </w:t>
      </w:r>
      <w:r w:rsidR="00F83879">
        <w:rPr>
          <w:rFonts w:ascii="Calibri" w:hAnsi="Calibri" w:cs="Calibri"/>
        </w:rPr>
        <w:t>1</w:t>
      </w:r>
      <w:r w:rsidR="00271873">
        <w:rPr>
          <w:rFonts w:ascii="Calibri" w:hAnsi="Calibri" w:cs="Calibri"/>
        </w:rPr>
        <w:t>0,7</w:t>
      </w:r>
      <w:r w:rsidR="00F83879">
        <w:rPr>
          <w:rFonts w:ascii="Calibri" w:hAnsi="Calibri" w:cs="Calibri"/>
        </w:rPr>
        <w:t xml:space="preserve"> </w:t>
      </w:r>
      <w:r w:rsidRPr="00706F0E">
        <w:rPr>
          <w:rFonts w:ascii="Calibri" w:hAnsi="Calibri" w:cs="Calibri"/>
        </w:rPr>
        <w:t>miljoni euroni.</w:t>
      </w:r>
    </w:p>
    <w:p w14:paraId="06BF03B1" w14:textId="7EC9C098" w:rsidR="008A2A26" w:rsidRDefault="005A33C0" w:rsidP="008A2A26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  <w:b/>
          <w:bCs/>
        </w:rPr>
        <w:t>Intressikulud</w:t>
      </w:r>
      <w:r w:rsidRPr="00706F0E">
        <w:rPr>
          <w:rFonts w:ascii="Calibri" w:hAnsi="Calibri" w:cs="Calibri"/>
        </w:rPr>
        <w:t xml:space="preserve"> on </w:t>
      </w:r>
      <w:r w:rsidR="00F83879">
        <w:rPr>
          <w:rFonts w:ascii="Calibri" w:hAnsi="Calibri" w:cs="Calibri"/>
        </w:rPr>
        <w:t>0,</w:t>
      </w:r>
      <w:r w:rsidR="00271873">
        <w:rPr>
          <w:rFonts w:ascii="Calibri" w:hAnsi="Calibri" w:cs="Calibri"/>
        </w:rPr>
        <w:t>4</w:t>
      </w:r>
      <w:r w:rsidR="00F83879">
        <w:rPr>
          <w:rFonts w:ascii="Calibri" w:hAnsi="Calibri" w:cs="Calibri"/>
        </w:rPr>
        <w:t xml:space="preserve"> </w:t>
      </w:r>
      <w:r w:rsidRPr="00706F0E">
        <w:rPr>
          <w:rFonts w:ascii="Calibri" w:hAnsi="Calibri" w:cs="Calibri"/>
        </w:rPr>
        <w:t xml:space="preserve">miljonit eurot. </w:t>
      </w:r>
    </w:p>
    <w:p w14:paraId="0BBD7BB5" w14:textId="225A8C24" w:rsidR="005A33C0" w:rsidRPr="00706F0E" w:rsidRDefault="005A33C0">
      <w:pPr>
        <w:rPr>
          <w:rFonts w:ascii="Calibri" w:hAnsi="Calibri" w:cs="Calibri"/>
        </w:rPr>
      </w:pPr>
      <w:r w:rsidRPr="00706F0E">
        <w:rPr>
          <w:rFonts w:ascii="Calibri" w:hAnsi="Calibri" w:cs="Calibri"/>
          <w:b/>
          <w:bCs/>
        </w:rPr>
        <w:t xml:space="preserve">Likviidsete varade maht </w:t>
      </w:r>
      <w:r w:rsidRPr="00706F0E">
        <w:rPr>
          <w:rFonts w:ascii="Calibri" w:hAnsi="Calibri" w:cs="Calibri"/>
        </w:rPr>
        <w:t xml:space="preserve">väheneb </w:t>
      </w:r>
      <w:r w:rsidR="00F83879">
        <w:rPr>
          <w:rFonts w:ascii="Calibri" w:hAnsi="Calibri" w:cs="Calibri"/>
        </w:rPr>
        <w:t xml:space="preserve">0,3 </w:t>
      </w:r>
      <w:r w:rsidRPr="00706F0E">
        <w:rPr>
          <w:rFonts w:ascii="Calibri" w:hAnsi="Calibri" w:cs="Calibri"/>
        </w:rPr>
        <w:t>miljonit eurot. Eesmärk on hoida piisavat likviidsete varade mahtu, et tagada likviidsus ja maksevõime.</w:t>
      </w:r>
    </w:p>
    <w:sectPr w:rsidR="005A33C0" w:rsidRPr="00706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97FD8"/>
    <w:multiLevelType w:val="hybridMultilevel"/>
    <w:tmpl w:val="6270EB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85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EE"/>
    <w:rsid w:val="00021063"/>
    <w:rsid w:val="00090159"/>
    <w:rsid w:val="000A0083"/>
    <w:rsid w:val="000C53B1"/>
    <w:rsid w:val="001A4F67"/>
    <w:rsid w:val="00220518"/>
    <w:rsid w:val="0022557A"/>
    <w:rsid w:val="00242614"/>
    <w:rsid w:val="00242C18"/>
    <w:rsid w:val="00245C0B"/>
    <w:rsid w:val="00260F35"/>
    <w:rsid w:val="00271873"/>
    <w:rsid w:val="0027330F"/>
    <w:rsid w:val="002C73EE"/>
    <w:rsid w:val="002C7595"/>
    <w:rsid w:val="003574D1"/>
    <w:rsid w:val="00392CFD"/>
    <w:rsid w:val="004948CC"/>
    <w:rsid w:val="00545B01"/>
    <w:rsid w:val="005919A3"/>
    <w:rsid w:val="005A1D02"/>
    <w:rsid w:val="005A33C0"/>
    <w:rsid w:val="00662BBC"/>
    <w:rsid w:val="00706F0E"/>
    <w:rsid w:val="0072693C"/>
    <w:rsid w:val="007B19CD"/>
    <w:rsid w:val="00845189"/>
    <w:rsid w:val="00870C6F"/>
    <w:rsid w:val="00875C64"/>
    <w:rsid w:val="008A2A26"/>
    <w:rsid w:val="009A3A22"/>
    <w:rsid w:val="00A55262"/>
    <w:rsid w:val="00A65BB8"/>
    <w:rsid w:val="00AF4C09"/>
    <w:rsid w:val="00B9051B"/>
    <w:rsid w:val="00C8452C"/>
    <w:rsid w:val="00CD12AF"/>
    <w:rsid w:val="00D34E32"/>
    <w:rsid w:val="00DD07EA"/>
    <w:rsid w:val="00E77A12"/>
    <w:rsid w:val="00F02918"/>
    <w:rsid w:val="00F83879"/>
    <w:rsid w:val="00FD3DE3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6837"/>
  <w15:chartTrackingRefBased/>
  <w15:docId w15:val="{28E61D7B-C304-444E-BAEA-F61B9E1C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lühiülevaade!$A$77</c:f>
              <c:strCache>
                <c:ptCount val="1"/>
                <c:pt idx="0">
                  <c:v>Maksutulud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335-4ACC-B6CE-B67212F17DF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335-4ACC-B6CE-B67212F17DF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335-4ACC-B6CE-B67212F17DF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335-4ACC-B6CE-B67212F17D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lühiülevaade!$B$76:$E$76</c:f>
              <c:strCache>
                <c:ptCount val="4"/>
                <c:pt idx="0">
                  <c:v>2022 täitmine</c:v>
                </c:pt>
                <c:pt idx="1">
                  <c:v>2023 täitmine</c:v>
                </c:pt>
                <c:pt idx="2">
                  <c:v>2024 täitmine</c:v>
                </c:pt>
                <c:pt idx="3">
                  <c:v>2025 eelarve</c:v>
                </c:pt>
              </c:strCache>
            </c:strRef>
          </c:cat>
          <c:val>
            <c:numRef>
              <c:f>lühiülevaade!$B$77:$E$77</c:f>
              <c:numCache>
                <c:formatCode>0.000</c:formatCode>
                <c:ptCount val="4"/>
                <c:pt idx="0">
                  <c:v>9.3210293900000014</c:v>
                </c:pt>
                <c:pt idx="1">
                  <c:v>10.27940291</c:v>
                </c:pt>
                <c:pt idx="2">
                  <c:v>11.34945594</c:v>
                </c:pt>
                <c:pt idx="3">
                  <c:v>11.743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35-4ACC-B6CE-B67212F17DFF}"/>
            </c:ext>
          </c:extLst>
        </c:ser>
        <c:ser>
          <c:idx val="1"/>
          <c:order val="1"/>
          <c:tx>
            <c:strRef>
              <c:f>lühiülevaade!$A$78</c:f>
              <c:strCache>
                <c:ptCount val="1"/>
                <c:pt idx="0">
                  <c:v>Toetused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lühiülevaade!$B$76:$E$76</c:f>
              <c:strCache>
                <c:ptCount val="4"/>
                <c:pt idx="0">
                  <c:v>2022 täitmine</c:v>
                </c:pt>
                <c:pt idx="1">
                  <c:v>2023 täitmine</c:v>
                </c:pt>
                <c:pt idx="2">
                  <c:v>2024 täitmine</c:v>
                </c:pt>
                <c:pt idx="3">
                  <c:v>2025 eelarve</c:v>
                </c:pt>
              </c:strCache>
            </c:strRef>
          </c:cat>
          <c:val>
            <c:numRef>
              <c:f>lühiülevaade!$B$78:$E$78</c:f>
              <c:numCache>
                <c:formatCode>0.000</c:formatCode>
                <c:ptCount val="4"/>
                <c:pt idx="0">
                  <c:v>4.6383493700000002</c:v>
                </c:pt>
                <c:pt idx="1">
                  <c:v>5.0044485300000003</c:v>
                </c:pt>
                <c:pt idx="2">
                  <c:v>4.6640015799999999</c:v>
                </c:pt>
                <c:pt idx="3">
                  <c:v>4.5702400000000001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335-4ACC-B6CE-B67212F17DFF}"/>
            </c:ext>
          </c:extLst>
        </c:ser>
        <c:ser>
          <c:idx val="2"/>
          <c:order val="2"/>
          <c:tx>
            <c:strRef>
              <c:f>lühiülevaade!$A$79</c:f>
              <c:strCache>
                <c:ptCount val="1"/>
                <c:pt idx="0">
                  <c:v>Kaupade ja teenuste müük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432923257176333E-3"/>
                  <c:y val="1.342048682270883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335-4ACC-B6CE-B67212F17DFF}"/>
                </c:ext>
              </c:extLst>
            </c:dLbl>
            <c:dLbl>
              <c:idx val="1"/>
              <c:layout>
                <c:manualLayout>
                  <c:x val="-4.6865846514353099E-3"/>
                  <c:y val="1.089073454859238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335-4ACC-B6CE-B67212F17DFF}"/>
                </c:ext>
              </c:extLst>
            </c:dLbl>
            <c:dLbl>
              <c:idx val="2"/>
              <c:layout>
                <c:manualLayout>
                  <c:x val="-8.5919726057639324E-17"/>
                  <c:y val="6.8543486858663215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335-4ACC-B6CE-B67212F17DFF}"/>
                </c:ext>
              </c:extLst>
            </c:dLbl>
            <c:dLbl>
              <c:idx val="3"/>
              <c:layout>
                <c:manualLayout>
                  <c:x val="0"/>
                  <c:y val="8.71966346672419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166959578207381E-2"/>
                      <c:h val="5.47398698450364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C335-4ACC-B6CE-B67212F17D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lühiülevaade!$B$76:$E$76</c:f>
              <c:strCache>
                <c:ptCount val="4"/>
                <c:pt idx="0">
                  <c:v>2022 täitmine</c:v>
                </c:pt>
                <c:pt idx="1">
                  <c:v>2023 täitmine</c:v>
                </c:pt>
                <c:pt idx="2">
                  <c:v>2024 täitmine</c:v>
                </c:pt>
                <c:pt idx="3">
                  <c:v>2025 eelarve</c:v>
                </c:pt>
              </c:strCache>
            </c:strRef>
          </c:cat>
          <c:val>
            <c:numRef>
              <c:f>lühiülevaade!$B$79:$E$79</c:f>
              <c:numCache>
                <c:formatCode>0.000</c:formatCode>
                <c:ptCount val="4"/>
                <c:pt idx="0">
                  <c:v>0.86112699999999998</c:v>
                </c:pt>
                <c:pt idx="1">
                  <c:v>0.91786734999999997</c:v>
                </c:pt>
                <c:pt idx="2">
                  <c:v>0.95592602000000004</c:v>
                </c:pt>
                <c:pt idx="3">
                  <c:v>1.085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335-4ACC-B6CE-B67212F17DFF}"/>
            </c:ext>
          </c:extLst>
        </c:ser>
        <c:ser>
          <c:idx val="3"/>
          <c:order val="3"/>
          <c:tx>
            <c:strRef>
              <c:f>lühiülevaade!$A$80</c:f>
              <c:strCache>
                <c:ptCount val="1"/>
                <c:pt idx="0">
                  <c:v>Muud tulud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lühiülevaade!$B$76:$E$76</c:f>
              <c:strCache>
                <c:ptCount val="4"/>
                <c:pt idx="0">
                  <c:v>2022 täitmine</c:v>
                </c:pt>
                <c:pt idx="1">
                  <c:v>2023 täitmine</c:v>
                </c:pt>
                <c:pt idx="2">
                  <c:v>2024 täitmine</c:v>
                </c:pt>
                <c:pt idx="3">
                  <c:v>2025 eelarve</c:v>
                </c:pt>
              </c:strCache>
            </c:strRef>
          </c:cat>
          <c:val>
            <c:numRef>
              <c:f>lühiülevaade!$B$80:$E$80</c:f>
              <c:numCache>
                <c:formatCode>0.000</c:formatCode>
                <c:ptCount val="4"/>
                <c:pt idx="0">
                  <c:v>0.17893736999999998</c:v>
                </c:pt>
                <c:pt idx="1">
                  <c:v>0.19752918999999999</c:v>
                </c:pt>
                <c:pt idx="2">
                  <c:v>0.10643183000000001</c:v>
                </c:pt>
                <c:pt idx="3">
                  <c:v>8.9300000000000004E-2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335-4ACC-B6CE-B67212F17DFF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78306671"/>
        <c:axId val="1478321071"/>
      </c:barChart>
      <c:catAx>
        <c:axId val="1478306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8321071"/>
        <c:crosses val="autoZero"/>
        <c:auto val="1"/>
        <c:lblAlgn val="ctr"/>
        <c:lblOffset val="100"/>
        <c:noMultiLvlLbl val="0"/>
      </c:catAx>
      <c:valAx>
        <c:axId val="1478321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83066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Mäll</dc:creator>
  <cp:keywords/>
  <dc:description/>
  <cp:lastModifiedBy>Ly Mäll</cp:lastModifiedBy>
  <cp:revision>2</cp:revision>
  <dcterms:created xsi:type="dcterms:W3CDTF">2025-03-24T12:50:00Z</dcterms:created>
  <dcterms:modified xsi:type="dcterms:W3CDTF">2025-03-24T12:50:00Z</dcterms:modified>
</cp:coreProperties>
</file>